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/>
    <w:p/>
    <w:p/>
    <w:p/>
    <w:p/>
    <w:p/>
    <w:p>
      <w:pPr>
        <w:jc w:val="center"/>
        <w:rPr>
          <w:rFonts w:hint="eastAsia" w:ascii="黑体" w:hAnsi="黑体" w:eastAsia="黑体" w:cs="黑体"/>
          <w:b/>
          <w:sz w:val="68"/>
          <w:szCs w:val="68"/>
        </w:rPr>
      </w:pPr>
      <w:bookmarkStart w:id="0" w:name="_Hlk500511681"/>
      <w:r>
        <w:rPr>
          <w:rFonts w:hint="eastAsia" w:ascii="黑体" w:hAnsi="黑体" w:eastAsia="黑体" w:cs="黑体"/>
          <w:b/>
          <w:sz w:val="68"/>
          <w:szCs w:val="68"/>
        </w:rPr>
        <w:t>中国科协系统综合统计平台</w:t>
      </w:r>
      <w:bookmarkEnd w:id="0"/>
    </w:p>
    <w:p>
      <w:pPr>
        <w:jc w:val="center"/>
        <w:rPr>
          <w:rFonts w:hint="eastAsia" w:ascii="黑体" w:hAnsi="黑体" w:eastAsia="黑体" w:cs="黑体"/>
          <w:b/>
          <w:sz w:val="68"/>
          <w:szCs w:val="68"/>
        </w:rPr>
      </w:pPr>
      <w:r>
        <w:rPr>
          <w:rFonts w:hint="eastAsia" w:ascii="黑体" w:hAnsi="黑体" w:eastAsia="黑体" w:cs="黑体"/>
          <w:b/>
          <w:sz w:val="68"/>
          <w:szCs w:val="68"/>
          <w:lang w:val="en-US" w:eastAsia="zh-CN"/>
        </w:rPr>
        <w:t>填报</w:t>
      </w:r>
      <w:r>
        <w:rPr>
          <w:rFonts w:hint="eastAsia" w:ascii="黑体" w:hAnsi="黑体" w:eastAsia="黑体" w:cs="黑体"/>
          <w:b/>
          <w:sz w:val="68"/>
          <w:szCs w:val="68"/>
        </w:rPr>
        <w:t>用户操作手册</w:t>
      </w:r>
    </w:p>
    <w:p>
      <w:pPr>
        <w:jc w:val="center"/>
        <w:rPr>
          <w:rFonts w:hint="eastAsia" w:ascii="黑体" w:hAnsi="黑体" w:eastAsia="黑体" w:cs="黑体"/>
          <w:b/>
          <w:sz w:val="68"/>
          <w:szCs w:val="68"/>
        </w:rPr>
      </w:pPr>
    </w:p>
    <w:p>
      <w:pPr>
        <w:jc w:val="center"/>
        <w:rPr>
          <w:rFonts w:hint="eastAsia" w:ascii="微软雅黑" w:hAnsi="微软雅黑" w:eastAsia="微软雅黑"/>
          <w:b/>
          <w:sz w:val="56"/>
          <w:szCs w:val="48"/>
        </w:rPr>
      </w:pPr>
    </w:p>
    <w:p>
      <w:pPr>
        <w:rPr>
          <w:rFonts w:ascii="微软雅黑" w:hAnsi="微软雅黑" w:eastAsia="微软雅黑"/>
        </w:rPr>
      </w:pPr>
    </w:p>
    <w:p>
      <w:pPr>
        <w:rPr>
          <w:rFonts w:ascii="微软雅黑" w:hAnsi="微软雅黑" w:eastAsia="微软雅黑"/>
        </w:rPr>
      </w:pPr>
    </w:p>
    <w:p>
      <w:pPr>
        <w:rPr>
          <w:rFonts w:ascii="微软雅黑" w:hAnsi="微软雅黑" w:eastAsia="微软雅黑"/>
        </w:rPr>
      </w:pPr>
    </w:p>
    <w:p>
      <w:pPr>
        <w:jc w:val="center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北京久其软件股份有限公司</w:t>
      </w:r>
    </w:p>
    <w:p>
      <w:pPr>
        <w:jc w:val="center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2017年12月</w:t>
      </w: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29</w:t>
      </w:r>
      <w:r>
        <w:rPr>
          <w:rFonts w:hint="eastAsia" w:ascii="黑体" w:hAnsi="黑体" w:eastAsia="黑体" w:cs="黑体"/>
          <w:sz w:val="32"/>
          <w:szCs w:val="32"/>
        </w:rPr>
        <w:t>日</w:t>
      </w:r>
    </w:p>
    <w:p>
      <w:pPr>
        <w:jc w:val="center"/>
        <w:rPr>
          <w:rFonts w:ascii="黑体" w:hAnsi="黑体" w:eastAsia="黑体" w:cs="黑体"/>
          <w:b/>
          <w:sz w:val="36"/>
          <w:szCs w:val="36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pgNumType w:fmt="numberInDash" w:start="1"/>
          <w:cols w:space="425" w:num="1"/>
          <w:docGrid w:type="lines" w:linePitch="312" w:charSpace="0"/>
        </w:sectPr>
      </w:pPr>
    </w:p>
    <w:p>
      <w:pPr>
        <w:jc w:val="center"/>
        <w:rPr>
          <w:rFonts w:ascii="黑体" w:hAnsi="黑体" w:eastAsia="黑体" w:cs="黑体"/>
          <w:b/>
          <w:sz w:val="36"/>
          <w:szCs w:val="36"/>
        </w:rPr>
      </w:pPr>
    </w:p>
    <w:p>
      <w:pPr>
        <w:jc w:val="center"/>
        <w:rPr>
          <w:rFonts w:ascii="黑体" w:hAnsi="黑体" w:eastAsia="黑体" w:cs="黑体"/>
          <w:b/>
          <w:sz w:val="36"/>
          <w:szCs w:val="36"/>
        </w:rPr>
      </w:pPr>
    </w:p>
    <w:p>
      <w:pPr>
        <w:jc w:val="center"/>
        <w:rPr>
          <w:rFonts w:ascii="黑体" w:hAnsi="黑体" w:eastAsia="黑体" w:cs="黑体"/>
          <w:b/>
          <w:bCs w:val="0"/>
          <w:sz w:val="32"/>
          <w:szCs w:val="32"/>
        </w:rPr>
      </w:pPr>
    </w:p>
    <w:p>
      <w:pPr>
        <w:jc w:val="center"/>
        <w:rPr>
          <w:rFonts w:hint="eastAsia" w:ascii="黑体" w:hAnsi="黑体" w:eastAsia="黑体" w:cs="黑体"/>
          <w:b/>
          <w:bCs w:val="0"/>
          <w:sz w:val="44"/>
          <w:szCs w:val="44"/>
        </w:rPr>
      </w:pPr>
      <w:r>
        <w:rPr>
          <w:rFonts w:hint="eastAsia" w:ascii="黑体" w:hAnsi="黑体" w:eastAsia="黑体" w:cs="黑体"/>
          <w:b/>
          <w:bCs w:val="0"/>
          <w:sz w:val="44"/>
          <w:szCs w:val="44"/>
        </w:rPr>
        <w:t>目</w:t>
      </w:r>
      <w:r>
        <w:rPr>
          <w:rFonts w:hint="eastAsia" w:ascii="黑体" w:hAnsi="黑体" w:eastAsia="黑体" w:cs="黑体"/>
          <w:b/>
          <w:bCs w:val="0"/>
          <w:sz w:val="44"/>
          <w:szCs w:val="44"/>
          <w:lang w:val="en-US" w:eastAsia="zh-CN"/>
        </w:rPr>
        <w:t xml:space="preserve">  </w:t>
      </w:r>
      <w:r>
        <w:rPr>
          <w:rFonts w:hint="eastAsia" w:ascii="黑体" w:hAnsi="黑体" w:eastAsia="黑体" w:cs="黑体"/>
          <w:b/>
          <w:bCs w:val="0"/>
          <w:sz w:val="44"/>
          <w:szCs w:val="44"/>
        </w:rPr>
        <w:t xml:space="preserve"> 录</w:t>
      </w:r>
    </w:p>
    <w:p>
      <w:pPr>
        <w:jc w:val="center"/>
        <w:rPr>
          <w:rFonts w:hint="eastAsia" w:ascii="黑体" w:hAnsi="黑体" w:eastAsia="黑体" w:cs="黑体"/>
          <w:b/>
          <w:bCs w:val="0"/>
          <w:sz w:val="44"/>
          <w:szCs w:val="44"/>
        </w:rPr>
      </w:pPr>
    </w:p>
    <w:p>
      <w:pPr>
        <w:pStyle w:val="20"/>
        <w:tabs>
          <w:tab w:val="right" w:leader="dot" w:pos="8306"/>
        </w:tabs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</w:pP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begin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instrText xml:space="preserve"> TOC \o "1-3" \h \z \u </w:instrText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separate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begin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instrText xml:space="preserve"> HYPERLINK \l _Toc24164 </w:instrText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separate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t>1 填报单位操作</w:t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tab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begin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instrText xml:space="preserve"> PAGEREF _Toc24164 </w:instrText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separate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t>- 1 -</w:t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end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end"/>
      </w:r>
    </w:p>
    <w:p>
      <w:pPr>
        <w:pStyle w:val="23"/>
        <w:tabs>
          <w:tab w:val="right" w:leader="dot" w:pos="8306"/>
        </w:tabs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</w:pP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begin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instrText xml:space="preserve"> HYPERLINK \l _Toc14154 </w:instrText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separate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t>1.1 系统登录</w:t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tab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begin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instrText xml:space="preserve"> PAGEREF _Toc14154 </w:instrText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separate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t>- 1 -</w:t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end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end"/>
      </w:r>
    </w:p>
    <w:p>
      <w:pPr>
        <w:pStyle w:val="23"/>
        <w:tabs>
          <w:tab w:val="right" w:leader="dot" w:pos="8306"/>
        </w:tabs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</w:pP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begin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instrText xml:space="preserve"> HYPERLINK \l _Toc2811 </w:instrText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separate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t>1.2 密码修改</w:t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tab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begin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instrText xml:space="preserve"> PAGEREF _Toc2811 </w:instrText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separate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t>- 1 -</w:t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end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end"/>
      </w:r>
    </w:p>
    <w:p>
      <w:pPr>
        <w:pStyle w:val="23"/>
        <w:tabs>
          <w:tab w:val="right" w:leader="dot" w:pos="8306"/>
        </w:tabs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</w:pP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begin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instrText xml:space="preserve"> HYPERLINK \l _Toc31278 </w:instrText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separate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t>1.3 系统首页</w:t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tab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begin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instrText xml:space="preserve"> PAGEREF _Toc31278 </w:instrText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separate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t>- 3 -</w:t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end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end"/>
      </w:r>
    </w:p>
    <w:p>
      <w:pPr>
        <w:pStyle w:val="23"/>
        <w:tabs>
          <w:tab w:val="right" w:leader="dot" w:pos="8306"/>
        </w:tabs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</w:pP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begin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instrText xml:space="preserve"> HYPERLINK \l _Toc7533 </w:instrText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separate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t>1.4 数据录入</w:t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tab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begin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instrText xml:space="preserve"> PAGEREF _Toc7533 </w:instrText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separate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t>- 3 -</w:t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end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end"/>
      </w:r>
    </w:p>
    <w:p>
      <w:pPr>
        <w:pStyle w:val="15"/>
        <w:tabs>
          <w:tab w:val="right" w:leader="dot" w:pos="8306"/>
        </w:tabs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</w:pP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begin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instrText xml:space="preserve"> HYPERLINK \l _Toc4635 </w:instrText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separate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t>1.4.1 台账录入</w:t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tab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begin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instrText xml:space="preserve"> PAGEREF _Toc4635 </w:instrText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separate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t>- 4 -</w:t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end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end"/>
      </w:r>
    </w:p>
    <w:p>
      <w:pPr>
        <w:pStyle w:val="15"/>
        <w:tabs>
          <w:tab w:val="right" w:leader="dot" w:pos="8306"/>
        </w:tabs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</w:pP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begin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instrText xml:space="preserve"> HYPERLINK \l _Toc17925 </w:instrText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separate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t>1.4.2 数据录入</w:t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tab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begin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instrText xml:space="preserve"> PAGEREF _Toc17925 </w:instrText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separate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t>- 12 -</w:t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end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end"/>
      </w:r>
    </w:p>
    <w:p>
      <w:pPr>
        <w:pStyle w:val="15"/>
        <w:tabs>
          <w:tab w:val="right" w:leader="dot" w:pos="8306"/>
        </w:tabs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</w:pP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begin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instrText xml:space="preserve"> HYPERLINK \l _Toc11485 </w:instrText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separate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t xml:space="preserve">1.4.3 </w:t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  <w:lang w:val="en-US" w:eastAsia="zh-CN"/>
        </w:rPr>
        <w:t>统计报表填报注意事项</w:t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tab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begin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instrText xml:space="preserve"> PAGEREF _Toc11485 </w:instrText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separate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t>- 15 -</w:t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end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end"/>
      </w:r>
    </w:p>
    <w:p>
      <w:pPr>
        <w:pStyle w:val="15"/>
        <w:tabs>
          <w:tab w:val="right" w:leader="dot" w:pos="8306"/>
        </w:tabs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</w:pP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begin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instrText xml:space="preserve"> HYPERLINK \l _Toc1859 </w:instrText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separate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t>1.4.4 常见问题</w:t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tab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begin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instrText xml:space="preserve"> PAGEREF _Toc1859 </w:instrText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separate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t>- 18 -</w:t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end"/>
      </w: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end"/>
      </w:r>
    </w:p>
    <w:p>
      <w:pPr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b/>
          <w:bCs w:val="0"/>
          <w:i w:val="0"/>
          <w:iCs w:val="0"/>
          <w:sz w:val="32"/>
          <w:szCs w:val="32"/>
        </w:rPr>
        <w:fldChar w:fldCharType="end"/>
      </w:r>
    </w:p>
    <w:p>
      <w:pPr>
        <w:pStyle w:val="2"/>
        <w:pageBreakBefore/>
        <w:ind w:left="431" w:hanging="431"/>
        <w:rPr>
          <w:rFonts w:ascii="黑体" w:hAnsi="黑体" w:eastAsia="黑体" w:cs="黑体"/>
          <w:sz w:val="32"/>
          <w:szCs w:val="32"/>
        </w:rPr>
        <w:sectPr>
          <w:footerReference r:id="rId5" w:type="default"/>
          <w:pgSz w:w="11906" w:h="16838"/>
          <w:pgMar w:top="1440" w:right="1800" w:bottom="1440" w:left="1800" w:header="851" w:footer="992" w:gutter="0"/>
          <w:pgNumType w:fmt="numberInDash" w:start="1"/>
          <w:cols w:space="425" w:num="1"/>
          <w:docGrid w:type="lines" w:linePitch="312" w:charSpace="0"/>
        </w:sectPr>
      </w:pPr>
      <w:bookmarkStart w:id="1" w:name="_Toc502174971"/>
    </w:p>
    <w:p>
      <w:pPr>
        <w:pStyle w:val="2"/>
        <w:pageBreakBefore/>
        <w:spacing w:before="0" w:beforeLines="0" w:after="0" w:afterLines="0" w:line="580" w:lineRule="exact"/>
        <w:ind w:left="431" w:hanging="431"/>
        <w:rPr>
          <w:rFonts w:hint="eastAsia" w:ascii="黑体" w:hAnsi="黑体" w:eastAsia="黑体" w:cs="黑体"/>
          <w:i w:val="0"/>
          <w:iCs w:val="0"/>
          <w:sz w:val="44"/>
          <w:szCs w:val="44"/>
        </w:rPr>
      </w:pPr>
      <w:bookmarkStart w:id="2" w:name="_Toc24164"/>
      <w:r>
        <w:rPr>
          <w:rFonts w:hint="eastAsia" w:ascii="黑体" w:hAnsi="黑体" w:eastAsia="黑体" w:cs="黑体"/>
          <w:i w:val="0"/>
          <w:iCs w:val="0"/>
          <w:sz w:val="44"/>
          <w:szCs w:val="44"/>
        </w:rPr>
        <w:t>填报单位操作</w:t>
      </w:r>
      <w:bookmarkEnd w:id="1"/>
      <w:bookmarkEnd w:id="2"/>
    </w:p>
    <w:p>
      <w:pPr>
        <w:pStyle w:val="3"/>
        <w:spacing w:before="0" w:beforeLines="0" w:after="0" w:afterLines="0" w:line="580" w:lineRule="exact"/>
        <w:rPr>
          <w:rFonts w:hint="eastAsia" w:ascii="楷体" w:hAnsi="楷体" w:eastAsia="楷体" w:cs="楷体"/>
          <w:i w:val="0"/>
          <w:iCs w:val="0"/>
        </w:rPr>
      </w:pPr>
      <w:bookmarkStart w:id="3" w:name="_Toc14154"/>
      <w:bookmarkStart w:id="4" w:name="_Toc502174972"/>
      <w:r>
        <w:rPr>
          <w:rFonts w:hint="eastAsia" w:ascii="楷体" w:hAnsi="楷体" w:eastAsia="楷体" w:cs="楷体"/>
          <w:i w:val="0"/>
          <w:iCs w:val="0"/>
        </w:rPr>
        <w:t>系统登录</w:t>
      </w:r>
      <w:bookmarkEnd w:id="3"/>
      <w:bookmarkEnd w:id="4"/>
    </w:p>
    <w:p>
      <w:pPr>
        <w:spacing w:beforeLines="0" w:afterLines="0" w:line="580" w:lineRule="exact"/>
        <w:ind w:firstLine="646" w:firstLineChars="202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输入网址http://kxtj.cast.org.cn登录“中国科协系统综合统计平台”,在登录界面出现登录对话框：</w:t>
      </w:r>
    </w:p>
    <w:p>
      <w:pPr>
        <w:spacing w:beforeLines="0" w:afterLines="0" w:line="240" w:lineRule="auto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drawing>
          <wp:inline distT="0" distB="0" distL="0" distR="0">
            <wp:extent cx="5274310" cy="342900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Lines="0" w:afterLines="0" w:line="580" w:lineRule="exact"/>
        <w:ind w:firstLine="646" w:firstLineChars="202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在登录对话框里输入用户名和密码，用户名默认为各填报单位的组织代码，</w:t>
      </w:r>
      <w:r>
        <w:rPr>
          <w:rFonts w:hint="eastAsia" w:ascii="仿宋_GB2312" w:hAnsi="仿宋_GB2312" w:eastAsia="仿宋_GB2312" w:cs="仿宋_GB2312"/>
          <w:b/>
          <w:bCs/>
          <w:i w:val="0"/>
          <w:iCs w:val="0"/>
          <w:sz w:val="32"/>
          <w:szCs w:val="32"/>
          <w:lang w:val="en-US" w:eastAsia="zh-CN"/>
        </w:rPr>
        <w:t>初始</w:t>
      </w:r>
      <w:r>
        <w:rPr>
          <w:rFonts w:hint="eastAsia" w:ascii="仿宋_GB2312" w:hAnsi="仿宋_GB2312" w:eastAsia="仿宋_GB2312" w:cs="仿宋_GB2312"/>
          <w:b/>
          <w:bCs/>
          <w:i w:val="0"/>
          <w:iCs w:val="0"/>
          <w:sz w:val="32"/>
          <w:szCs w:val="32"/>
        </w:rPr>
        <w:t>密码同用户名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。输入后点击登录即可。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eastAsia="zh-CN"/>
        </w:rPr>
        <w:t>（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用户名和密码管理详见常见问题）</w:t>
      </w:r>
    </w:p>
    <w:p>
      <w:pPr>
        <w:spacing w:beforeLines="0" w:afterLines="0" w:line="580" w:lineRule="exact"/>
        <w:ind w:firstLine="646" w:firstLineChars="202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组织代码一般编码规则：除特殊情况，科协组织代码采用国家统计局统一编码规则，由地区编码+单位编码组成；学会组织代码由学会序列简码+单位编码组成。</w:t>
      </w:r>
      <w:bookmarkStart w:id="18" w:name="_GoBack"/>
      <w:bookmarkEnd w:id="18"/>
    </w:p>
    <w:p>
      <w:pPr>
        <w:pStyle w:val="3"/>
        <w:spacing w:before="0" w:beforeLines="0" w:after="0" w:afterLines="0" w:line="580" w:lineRule="exact"/>
        <w:rPr>
          <w:rFonts w:hint="eastAsia" w:ascii="楷体" w:hAnsi="楷体" w:eastAsia="楷体" w:cs="楷体"/>
          <w:i w:val="0"/>
          <w:iCs w:val="0"/>
        </w:rPr>
      </w:pPr>
      <w:bookmarkStart w:id="5" w:name="_Toc502174973"/>
      <w:bookmarkStart w:id="6" w:name="_Toc2811"/>
      <w:r>
        <w:rPr>
          <w:rFonts w:hint="eastAsia" w:ascii="楷体" w:hAnsi="楷体" w:eastAsia="楷体" w:cs="楷体"/>
          <w:i w:val="0"/>
          <w:iCs w:val="0"/>
        </w:rPr>
        <w:t>密码修改</w:t>
      </w:r>
      <w:bookmarkEnd w:id="5"/>
      <w:bookmarkEnd w:id="6"/>
      <w:r>
        <w:rPr>
          <w:rFonts w:hint="eastAsia" w:ascii="楷体" w:hAnsi="楷体" w:eastAsia="楷体" w:cs="楷体"/>
          <w:i w:val="0"/>
          <w:iCs w:val="0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>
      <w:pPr>
        <w:spacing w:beforeLines="0" w:afterLines="0" w:line="580" w:lineRule="exact"/>
        <w:ind w:firstLine="646" w:firstLineChars="202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对于首次登录系统的用户，会弹出【首次登录-修改密码】对话框。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left"/>
        <w:textAlignment w:val="auto"/>
        <w:outlineLvl w:val="9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drawing>
          <wp:inline distT="0" distB="0" distL="0" distR="0">
            <wp:extent cx="5274310" cy="3629025"/>
            <wp:effectExtent l="0" t="0" r="254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2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Lines="0" w:afterLines="0" w:line="580" w:lineRule="exact"/>
        <w:ind w:firstLine="646" w:firstLineChars="202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用户需要将新密码输入，然后确认密码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eastAsia="zh-CN"/>
        </w:rPr>
        <w:t>。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请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按照密码要求更改密码。</w:t>
      </w:r>
    </w:p>
    <w:p>
      <w:pPr>
        <w:spacing w:beforeLines="0" w:afterLines="0" w:line="580" w:lineRule="exact"/>
        <w:ind w:firstLine="646" w:firstLineChars="202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如果用户需要再次修改密码，可以在登录系统后，点击系统的右上角的【修改密码】按钮进行修改。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drawing>
          <wp:inline distT="0" distB="0" distL="0" distR="0">
            <wp:extent cx="5274310" cy="1920240"/>
            <wp:effectExtent l="0" t="0" r="2540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20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drawing>
          <wp:inline distT="0" distB="0" distL="0" distR="0">
            <wp:extent cx="5274310" cy="2525395"/>
            <wp:effectExtent l="0" t="0" r="2540" b="825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25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</w:p>
    <w:p>
      <w:pPr>
        <w:pStyle w:val="3"/>
        <w:spacing w:before="0" w:beforeLines="0" w:after="0" w:afterLines="0" w:line="580" w:lineRule="exact"/>
        <w:rPr>
          <w:rFonts w:hint="eastAsia" w:ascii="楷体" w:hAnsi="楷体" w:eastAsia="楷体" w:cs="楷体"/>
          <w:i w:val="0"/>
          <w:iCs w:val="0"/>
        </w:rPr>
      </w:pPr>
      <w:bookmarkStart w:id="7" w:name="_Toc502174974"/>
      <w:bookmarkStart w:id="8" w:name="_Toc31278"/>
      <w:r>
        <w:rPr>
          <w:rFonts w:hint="eastAsia" w:ascii="楷体" w:hAnsi="楷体" w:eastAsia="楷体" w:cs="楷体"/>
          <w:i w:val="0"/>
          <w:iCs w:val="0"/>
        </w:rPr>
        <w:t>系统首页</w:t>
      </w:r>
      <w:bookmarkEnd w:id="7"/>
      <w:bookmarkEnd w:id="8"/>
    </w:p>
    <w:p>
      <w:pPr>
        <w:spacing w:beforeLines="0" w:afterLines="0" w:line="580" w:lineRule="exact"/>
        <w:ind w:firstLine="646" w:firstLineChars="202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填报单位在登录系统后，可以看到系统首页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eastAsia="zh-CN"/>
        </w:rPr>
        <w:t>，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首页有通知公告、政策法规、下载专区、待办事项、上报情况展示、常见问题组成。</w:t>
      </w:r>
    </w:p>
    <w:p>
      <w:pPr>
        <w:pStyle w:val="3"/>
        <w:spacing w:before="0" w:beforeLines="0" w:after="0" w:afterLines="0" w:line="580" w:lineRule="exact"/>
        <w:rPr>
          <w:rFonts w:hint="eastAsia" w:ascii="楷体" w:hAnsi="楷体" w:eastAsia="楷体" w:cs="楷体"/>
          <w:i w:val="0"/>
          <w:iCs w:val="0"/>
        </w:rPr>
      </w:pPr>
      <w:bookmarkStart w:id="9" w:name="_Toc502174975"/>
      <w:bookmarkStart w:id="10" w:name="_Toc7533"/>
      <w:r>
        <w:rPr>
          <w:rFonts w:hint="eastAsia" w:ascii="楷体" w:hAnsi="楷体" w:eastAsia="楷体" w:cs="楷体"/>
          <w:i w:val="0"/>
          <w:iCs w:val="0"/>
        </w:rPr>
        <w:t>数据录入</w:t>
      </w:r>
      <w:bookmarkEnd w:id="9"/>
      <w:bookmarkEnd w:id="10"/>
    </w:p>
    <w:p>
      <w:pPr>
        <w:spacing w:beforeLines="0" w:afterLines="0" w:line="580" w:lineRule="exact"/>
        <w:ind w:firstLine="649" w:firstLineChars="202"/>
        <w:rPr>
          <w:rFonts w:hint="eastAsia" w:ascii="仿宋_GB2312" w:hAnsi="仿宋_GB2312" w:eastAsia="仿宋_GB2312" w:cs="仿宋_GB2312"/>
          <w:b/>
          <w:bCs/>
          <w:i w:val="0"/>
          <w:iCs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i w:val="0"/>
          <w:iCs w:val="0"/>
          <w:sz w:val="32"/>
          <w:szCs w:val="32"/>
          <w:lang w:val="en-US" w:eastAsia="zh-CN"/>
        </w:rPr>
        <w:t>2017年度中国科协系统综合统计采用台帐录入方式。</w:t>
      </w:r>
    </w:p>
    <w:p>
      <w:pPr>
        <w:spacing w:beforeLines="0" w:afterLines="0" w:line="580" w:lineRule="exact"/>
        <w:ind w:firstLine="646" w:firstLineChars="202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点击系统上方的【数据录入】：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drawing>
          <wp:inline distT="0" distB="0" distL="0" distR="0">
            <wp:extent cx="5274310" cy="214122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1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Lines="0" w:afterLines="0" w:line="580" w:lineRule="exact"/>
        <w:ind w:firstLine="646" w:firstLineChars="202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在数据录入界面，左侧功能树里分为【台账录入】和【数据录入】。</w:t>
      </w:r>
    </w:p>
    <w:p>
      <w:pPr>
        <w:spacing w:beforeLines="0" w:afterLines="0" w:line="580" w:lineRule="exact"/>
        <w:ind w:firstLine="646" w:firstLineChars="202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填报用户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依靠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填写【台账录入】里的报表，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自动运算生成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【数据录入】里的报表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数据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。</w:t>
      </w:r>
    </w:p>
    <w:p>
      <w:pPr>
        <w:pStyle w:val="4"/>
        <w:spacing w:before="0" w:beforeLines="0" w:after="0" w:afterLines="0" w:line="580" w:lineRule="exact"/>
        <w:rPr>
          <w:rFonts w:hint="eastAsia" w:ascii="仿宋_GB2312" w:hAnsi="仿宋_GB2312" w:eastAsia="仿宋_GB2312" w:cs="仿宋_GB2312"/>
          <w:i w:val="0"/>
          <w:iCs w:val="0"/>
        </w:rPr>
      </w:pPr>
      <w:bookmarkStart w:id="11" w:name="_Toc4635"/>
      <w:bookmarkStart w:id="12" w:name="_Toc502174976"/>
      <w:r>
        <w:rPr>
          <w:rFonts w:hint="eastAsia" w:ascii="仿宋_GB2312" w:hAnsi="仿宋_GB2312" w:eastAsia="仿宋_GB2312" w:cs="仿宋_GB2312"/>
          <w:i w:val="0"/>
          <w:iCs w:val="0"/>
        </w:rPr>
        <w:t>台账录入</w:t>
      </w:r>
      <w:bookmarkEnd w:id="11"/>
      <w:bookmarkEnd w:id="12"/>
    </w:p>
    <w:p>
      <w:pPr>
        <w:pStyle w:val="5"/>
        <w:spacing w:before="0" w:beforeLines="0" w:after="0" w:afterLines="0" w:line="580" w:lineRule="exact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2017年度报表录入范围</w:t>
      </w:r>
    </w:p>
    <w:p>
      <w:pPr>
        <w:spacing w:beforeLines="0" w:afterLines="0" w:line="580" w:lineRule="exact"/>
        <w:ind w:firstLine="646" w:firstLineChars="202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2017年度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统计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报表：1-1组织建设(科协)，1-2组织建设（学会），3为科技工作者服务，4服务创新驱动发展，5学术交流活动，6科技期刊，7科技开放与交流，8科学技术普及活动，9青少年科技教育，10科普基础设施建设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eastAsia="zh-CN"/>
        </w:rPr>
        <w:t>（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科协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eastAsia="zh-CN"/>
        </w:rPr>
        <w:t>）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，11科技传播，12科技创新智库建设，其中</w:t>
      </w:r>
      <w:r>
        <w:rPr>
          <w:rFonts w:hint="eastAsia" w:ascii="仿宋_GB2312" w:hAnsi="仿宋_GB2312" w:eastAsia="仿宋_GB2312" w:cs="仿宋_GB2312"/>
          <w:b/>
          <w:bCs/>
          <w:i w:val="0"/>
          <w:iCs w:val="0"/>
          <w:sz w:val="32"/>
          <w:szCs w:val="32"/>
        </w:rPr>
        <w:t>科协</w:t>
      </w:r>
      <w:r>
        <w:rPr>
          <w:rFonts w:hint="eastAsia" w:ascii="仿宋_GB2312" w:hAnsi="仿宋_GB2312" w:eastAsia="仿宋_GB2312" w:cs="仿宋_GB2312"/>
          <w:b/>
          <w:bCs/>
          <w:i w:val="0"/>
          <w:iCs w:val="0"/>
          <w:sz w:val="32"/>
          <w:szCs w:val="32"/>
          <w:lang w:val="en-US" w:eastAsia="zh-CN"/>
        </w:rPr>
        <w:t>填报</w:t>
      </w:r>
      <w:r>
        <w:rPr>
          <w:rFonts w:hint="eastAsia" w:ascii="仿宋_GB2312" w:hAnsi="仿宋_GB2312" w:eastAsia="仿宋_GB2312" w:cs="仿宋_GB2312"/>
          <w:b/>
          <w:bCs/>
          <w:i w:val="0"/>
          <w:iCs w:val="0"/>
          <w:sz w:val="32"/>
          <w:szCs w:val="32"/>
        </w:rPr>
        <w:t>用户不需要录入1-2组织建设（学会）</w:t>
      </w:r>
      <w:r>
        <w:rPr>
          <w:rFonts w:hint="eastAsia" w:ascii="仿宋_GB2312" w:hAnsi="仿宋_GB2312" w:eastAsia="仿宋_GB2312" w:cs="仿宋_GB2312"/>
          <w:b/>
          <w:bCs/>
          <w:i w:val="0"/>
          <w:iCs w:val="0"/>
          <w:sz w:val="32"/>
          <w:szCs w:val="32"/>
          <w:lang w:eastAsia="zh-CN"/>
        </w:rPr>
        <w:t>；</w:t>
      </w:r>
      <w:r>
        <w:rPr>
          <w:rFonts w:hint="eastAsia" w:ascii="仿宋_GB2312" w:hAnsi="仿宋_GB2312" w:eastAsia="仿宋_GB2312" w:cs="仿宋_GB2312"/>
          <w:b/>
          <w:bCs/>
          <w:i w:val="0"/>
          <w:iCs w:val="0"/>
          <w:sz w:val="32"/>
          <w:szCs w:val="32"/>
        </w:rPr>
        <w:t>学会</w:t>
      </w:r>
      <w:r>
        <w:rPr>
          <w:rFonts w:hint="eastAsia" w:ascii="仿宋_GB2312" w:hAnsi="仿宋_GB2312" w:eastAsia="仿宋_GB2312" w:cs="仿宋_GB2312"/>
          <w:b/>
          <w:bCs/>
          <w:i w:val="0"/>
          <w:iCs w:val="0"/>
          <w:sz w:val="32"/>
          <w:szCs w:val="32"/>
          <w:lang w:val="en-US" w:eastAsia="zh-CN"/>
        </w:rPr>
        <w:t>填报</w:t>
      </w:r>
      <w:r>
        <w:rPr>
          <w:rFonts w:hint="eastAsia" w:ascii="仿宋_GB2312" w:hAnsi="仿宋_GB2312" w:eastAsia="仿宋_GB2312" w:cs="仿宋_GB2312"/>
          <w:b/>
          <w:bCs/>
          <w:i w:val="0"/>
          <w:iCs w:val="0"/>
          <w:sz w:val="32"/>
          <w:szCs w:val="32"/>
        </w:rPr>
        <w:t>用户不需要录</w:t>
      </w:r>
      <w:r>
        <w:rPr>
          <w:rFonts w:hint="eastAsia" w:ascii="仿宋_GB2312" w:hAnsi="仿宋_GB2312" w:eastAsia="仿宋_GB2312" w:cs="仿宋_GB2312"/>
          <w:b/>
          <w:bCs/>
          <w:i w:val="0"/>
          <w:iCs w:val="0"/>
          <w:sz w:val="32"/>
          <w:szCs w:val="32"/>
          <w:lang w:val="en-US" w:eastAsia="zh-CN"/>
        </w:rPr>
        <w:t>入</w:t>
      </w:r>
      <w:r>
        <w:rPr>
          <w:rFonts w:hint="eastAsia" w:ascii="仿宋_GB2312" w:hAnsi="仿宋_GB2312" w:eastAsia="仿宋_GB2312" w:cs="仿宋_GB2312"/>
          <w:b/>
          <w:bCs/>
          <w:i w:val="0"/>
          <w:iCs w:val="0"/>
          <w:sz w:val="32"/>
          <w:szCs w:val="32"/>
        </w:rPr>
        <w:t>1-1组织建设(科协)，10科普基础设施建设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。</w:t>
      </w:r>
    </w:p>
    <w:p>
      <w:pPr>
        <w:spacing w:beforeLines="0" w:afterLines="0" w:line="580" w:lineRule="exact"/>
        <w:ind w:firstLine="646" w:firstLineChars="202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与往年不同的是8科学技术普及活动里的科技日、科技周、日常、其它这几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项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指标不需要填写，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已经做隐藏处理。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drawing>
          <wp:inline distT="0" distB="0" distL="0" distR="0">
            <wp:extent cx="5274310" cy="1772285"/>
            <wp:effectExtent l="0" t="0" r="254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7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Lines="0" w:afterLines="0" w:line="580" w:lineRule="exact"/>
        <w:ind w:firstLine="640" w:firstLineChars="200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同时，科协用户在【数据录入】里也不需要填写以下两个指标：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both"/>
        <w:textAlignment w:val="auto"/>
        <w:outlineLvl w:val="9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drawing>
          <wp:inline distT="0" distB="0" distL="0" distR="0">
            <wp:extent cx="5274310" cy="1452880"/>
            <wp:effectExtent l="0" t="0" r="254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5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0" w:beforeLines="0" w:after="0" w:afterLines="0" w:line="580" w:lineRule="exact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台帐操作方法</w:t>
      </w:r>
    </w:p>
    <w:p>
      <w:pPr>
        <w:spacing w:beforeLines="0" w:afterLines="0" w:line="580" w:lineRule="exact"/>
        <w:ind w:firstLine="646" w:firstLineChars="202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点击【台账录入】按钮，出现报表填报界面：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drawing>
          <wp:inline distT="0" distB="0" distL="0" distR="0">
            <wp:extent cx="5274310" cy="2513330"/>
            <wp:effectExtent l="0" t="0" r="2540" b="127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Lines="0" w:afterLines="0" w:line="580" w:lineRule="exact"/>
        <w:ind w:firstLine="646" w:firstLineChars="202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用户需要将报表分组下的报表都填写完毕，按个填写，保存，审核。由于本系统的报表分组较多，可以点击报表分组右边的下拉三角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drawing>
          <wp:inline distT="0" distB="0" distL="0" distR="0">
            <wp:extent cx="228600" cy="26670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drawing>
          <wp:inline distT="0" distB="0" distL="0" distR="0">
            <wp:extent cx="5274310" cy="1828165"/>
            <wp:effectExtent l="0" t="0" r="2540" b="63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28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Lines="0" w:afterLines="0" w:line="580" w:lineRule="exact"/>
        <w:ind w:firstLine="646" w:firstLineChars="202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由于有的分组里的报表较多，可点击右边的双三角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drawing>
          <wp:inline distT="0" distB="0" distL="0" distR="0">
            <wp:extent cx="314325" cy="247650"/>
            <wp:effectExtent l="0" t="0" r="952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进行下拉切换报表：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drawing>
          <wp:inline distT="0" distB="0" distL="0" distR="0">
            <wp:extent cx="5274310" cy="2467610"/>
            <wp:effectExtent l="0" t="0" r="2540" b="889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7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0" w:beforeLines="0" w:after="0" w:afterLines="0" w:line="580" w:lineRule="exact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台账表内自动增行</w:t>
      </w:r>
    </w:p>
    <w:p>
      <w:pPr>
        <w:spacing w:beforeLines="0" w:afterLines="0" w:line="580" w:lineRule="exact"/>
        <w:ind w:firstLine="640" w:firstLineChars="200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用户在录入台账时，系统默认显示一行，在填完一行后，一般会自动增行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eastAsia="zh-CN"/>
        </w:rPr>
        <w:t>。</w:t>
      </w:r>
    </w:p>
    <w:p>
      <w:pPr>
        <w:spacing w:beforeLines="0" w:afterLines="0" w:line="580" w:lineRule="exact"/>
        <w:ind w:firstLine="640" w:firstLineChars="200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台账未填写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状态时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，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如果需要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先增加需要填写的表格再录入，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可以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点击【序号】，或者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在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指标上双击，即可增行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drawing>
          <wp:inline distT="0" distB="0" distL="0" distR="0">
            <wp:extent cx="5210175" cy="2133600"/>
            <wp:effectExtent l="0" t="0" r="952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Lines="0" w:afterLines="0" w:line="580" w:lineRule="exact"/>
        <w:ind w:firstLine="640" w:firstLineChars="200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也可以在单元格上右击鼠标，选择【后插一行】或者【前插一行】：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drawing>
          <wp:inline distT="0" distB="0" distL="0" distR="0">
            <wp:extent cx="4791075" cy="3924300"/>
            <wp:effectExtent l="0" t="0" r="952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Lines="0" w:afterLines="0" w:line="580" w:lineRule="exact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</w:p>
    <w:p>
      <w:pPr>
        <w:pStyle w:val="44"/>
        <w:numPr>
          <w:ilvl w:val="0"/>
          <w:numId w:val="2"/>
        </w:numPr>
        <w:spacing w:beforeLines="0" w:afterLines="0" w:line="580" w:lineRule="exact"/>
        <w:ind w:firstLineChars="0"/>
        <w:rPr>
          <w:rFonts w:hint="eastAsia" w:ascii="仿宋_GB2312" w:hAnsi="仿宋_GB2312" w:eastAsia="仿宋_GB2312" w:cs="仿宋_GB2312"/>
          <w:b/>
          <w:bCs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i w:val="0"/>
          <w:iCs w:val="0"/>
          <w:sz w:val="32"/>
          <w:szCs w:val="32"/>
        </w:rPr>
        <w:t>需要说明的是，用户应仔细阅读本系统报表制度，深刻理解每个指标含义，再进行填报。</w:t>
      </w:r>
      <w:r>
        <w:rPr>
          <w:rFonts w:hint="eastAsia" w:ascii="仿宋_GB2312" w:hAnsi="仿宋_GB2312" w:eastAsia="仿宋_GB2312" w:cs="仿宋_GB2312"/>
          <w:b/>
          <w:bCs/>
          <w:i w:val="0"/>
          <w:iCs w:val="0"/>
          <w:sz w:val="32"/>
          <w:szCs w:val="32"/>
          <w:lang w:val="en-US" w:eastAsia="zh-CN"/>
        </w:rPr>
        <w:t>例如</w:t>
      </w:r>
      <w:r>
        <w:rPr>
          <w:rFonts w:hint="eastAsia" w:ascii="仿宋_GB2312" w:hAnsi="仿宋_GB2312" w:eastAsia="仿宋_GB2312" w:cs="仿宋_GB2312"/>
          <w:b/>
          <w:bCs/>
          <w:i w:val="0"/>
          <w:iCs w:val="0"/>
          <w:sz w:val="32"/>
          <w:szCs w:val="32"/>
        </w:rPr>
        <w:t>“学会从业人员”这张表，用户只需要在单元格内如实填写数据即可，此类只统计一行数据的表是不会自动增行的。</w:t>
      </w:r>
    </w:p>
    <w:p>
      <w:pPr>
        <w:pStyle w:val="44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420" w:leftChars="0" w:right="0" w:rightChars="0" w:firstLine="0" w:firstLineChars="0"/>
        <w:jc w:val="both"/>
        <w:textAlignment w:val="auto"/>
        <w:outlineLvl w:val="9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drawing>
          <wp:inline distT="0" distB="0" distL="0" distR="0">
            <wp:extent cx="5274310" cy="1656080"/>
            <wp:effectExtent l="0" t="0" r="2540" b="127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0" w:beforeLines="0" w:after="0" w:afterLines="0" w:line="580" w:lineRule="exact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保存</w:t>
      </w:r>
    </w:p>
    <w:p>
      <w:pPr>
        <w:spacing w:beforeLines="0" w:afterLines="0" w:line="580" w:lineRule="exact"/>
        <w:ind w:firstLine="646" w:firstLineChars="202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报表填写完成后，点击工具栏里的【保存】。</w:t>
      </w:r>
    </w:p>
    <w:p>
      <w:pPr>
        <w:spacing w:beforeLines="0" w:afterLines="0" w:line="580" w:lineRule="exact"/>
        <w:ind w:firstLine="646" w:firstLineChars="202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drawing>
          <wp:inline distT="0" distB="0" distL="0" distR="0">
            <wp:extent cx="5274310" cy="2134870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34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</w:p>
    <w:p>
      <w:pPr>
        <w:spacing w:beforeLines="0" w:afterLines="0" w:line="580" w:lineRule="exact"/>
        <w:ind w:firstLine="646" w:firstLineChars="202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保存后弹出提示框，点击确定即可。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drawing>
          <wp:inline distT="0" distB="0" distL="0" distR="0">
            <wp:extent cx="5274310" cy="1985645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8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Lines="0" w:afterLines="0" w:line="580" w:lineRule="exact"/>
        <w:ind w:firstLine="646" w:firstLineChars="202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保存后的数据可以修改。找到需要修改的报表和指标，双击指标进行修改，修改后保存即可。</w:t>
      </w:r>
    </w:p>
    <w:p>
      <w:pPr>
        <w:pStyle w:val="5"/>
        <w:spacing w:before="0" w:beforeLines="0" w:after="0" w:afterLines="0" w:line="580" w:lineRule="exact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审核</w:t>
      </w:r>
    </w:p>
    <w:p>
      <w:pPr>
        <w:spacing w:beforeLines="0" w:afterLines="0" w:line="580" w:lineRule="exact"/>
        <w:ind w:firstLine="646" w:firstLineChars="202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对于保存后的数据，用户需要进行审核，点击工具栏里的【审核】按钮：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drawing>
          <wp:inline distT="0" distB="0" distL="0" distR="0">
            <wp:extent cx="5274310" cy="2707005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07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spacing w:before="0" w:beforeLines="0" w:after="0" w:afterLines="0" w:line="580" w:lineRule="exact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highlight w:val="red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highlight w:val="red"/>
        </w:rPr>
        <w:t>审核提示</w:t>
      </w:r>
    </w:p>
    <w:p>
      <w:pPr>
        <w:spacing w:beforeLines="0" w:afterLines="0" w:line="580" w:lineRule="exact"/>
        <w:ind w:firstLine="640" w:firstLineChars="200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为了保证数据质量，避免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漏报或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重复填报，台账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内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置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了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审核公式。在填报保存后，用户需要点击审核，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drawing>
          <wp:inline distT="0" distB="0" distL="0" distR="0">
            <wp:extent cx="5274310" cy="2273935"/>
            <wp:effectExtent l="0" t="0" r="254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73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Lines="0" w:afterLines="0" w:line="580" w:lineRule="exact"/>
        <w:ind w:firstLine="640" w:firstLineChars="200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在点击审核后，若数据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异常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，会弹出【提示】框，同时在报表下方会显示审核信息对话框。</w:t>
      </w:r>
    </w:p>
    <w:p>
      <w:pPr>
        <w:spacing w:beforeLines="0" w:afterLines="0" w:line="580" w:lineRule="exact"/>
        <w:ind w:firstLine="643" w:firstLineChars="200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i w:val="0"/>
          <w:iCs w:val="0"/>
          <w:sz w:val="32"/>
          <w:szCs w:val="32"/>
        </w:rPr>
        <w:t>第二列类型为蓝色</w:t>
      </w:r>
      <w:r>
        <w:rPr>
          <w:rFonts w:hint="eastAsia" w:ascii="仿宋_GB2312" w:hAnsi="仿宋_GB2312" w:eastAsia="仿宋_GB2312" w:cs="仿宋_GB2312"/>
          <w:b/>
          <w:bCs/>
          <w:i w:val="0"/>
          <w:iCs w:val="0"/>
          <w:sz w:val="32"/>
          <w:szCs w:val="32"/>
        </w:rPr>
        <w:drawing>
          <wp:inline distT="0" distB="0" distL="0" distR="0">
            <wp:extent cx="314325" cy="276225"/>
            <wp:effectExtent l="0" t="0" r="9525" b="952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b/>
          <w:bCs/>
          <w:i w:val="0"/>
          <w:iCs w:val="0"/>
          <w:sz w:val="32"/>
          <w:szCs w:val="32"/>
        </w:rPr>
        <w:t>，属于提示信息</w:t>
      </w:r>
      <w:r>
        <w:rPr>
          <w:rFonts w:hint="eastAsia" w:ascii="仿宋_GB2312" w:hAnsi="仿宋_GB2312" w:eastAsia="仿宋_GB2312" w:cs="仿宋_GB2312"/>
          <w:b/>
          <w:bCs/>
          <w:i w:val="0"/>
          <w:iCs w:val="0"/>
          <w:sz w:val="32"/>
          <w:szCs w:val="32"/>
          <w:lang w:eastAsia="zh-CN"/>
        </w:rPr>
        <w:t>。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例如，超过临界值50%之类的情况，这种</w:t>
      </w:r>
      <w:r>
        <w:rPr>
          <w:rFonts w:hint="eastAsia" w:ascii="仿宋_GB2312" w:hAnsi="仿宋_GB2312" w:eastAsia="仿宋_GB2312" w:cs="仿宋_GB2312"/>
          <w:b/>
          <w:bCs/>
          <w:i w:val="0"/>
          <w:iCs w:val="0"/>
          <w:sz w:val="32"/>
          <w:szCs w:val="32"/>
        </w:rPr>
        <w:t>不属于错误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。本功能设计旨在提醒重大数据变动，如果数量级较小，例如1变为2，导致越界提醒，可以忽视；如果数量级较大，例如财政经费20万元变为200000万元，则通常是错误，请修正！如果某项活动数量级较大，但属于事业发展亮点，增幅确实超过50%，可以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通过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添加批注或在上报报表说明中进行说明，此类问题不会影响上报。</w:t>
      </w:r>
    </w:p>
    <w:p>
      <w:pPr>
        <w:spacing w:beforeLines="0" w:afterLines="0" w:line="580" w:lineRule="exact"/>
        <w:ind w:firstLine="643" w:firstLineChars="200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i w:val="0"/>
          <w:iCs w:val="0"/>
          <w:sz w:val="32"/>
          <w:szCs w:val="32"/>
        </w:rPr>
        <w:t>第二列类型为红色</w:t>
      </w:r>
      <w:r>
        <w:rPr>
          <w:rFonts w:hint="eastAsia" w:ascii="仿宋_GB2312" w:hAnsi="仿宋_GB2312" w:eastAsia="仿宋_GB2312" w:cs="仿宋_GB2312"/>
          <w:b/>
          <w:bCs/>
          <w:i w:val="0"/>
          <w:iCs w:val="0"/>
          <w:sz w:val="32"/>
          <w:szCs w:val="32"/>
        </w:rPr>
        <w:drawing>
          <wp:inline distT="0" distB="0" distL="0" distR="0">
            <wp:extent cx="304800" cy="390525"/>
            <wp:effectExtent l="0" t="0" r="0" b="952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b/>
          <w:bCs/>
          <w:i w:val="0"/>
          <w:iCs w:val="0"/>
          <w:sz w:val="32"/>
          <w:szCs w:val="32"/>
        </w:rPr>
        <w:t>，属于错误</w:t>
      </w:r>
      <w:r>
        <w:rPr>
          <w:rFonts w:hint="eastAsia" w:ascii="仿宋_GB2312" w:hAnsi="仿宋_GB2312" w:eastAsia="仿宋_GB2312" w:cs="仿宋_GB2312"/>
          <w:b/>
          <w:bCs/>
          <w:i w:val="0"/>
          <w:iCs w:val="0"/>
          <w:sz w:val="32"/>
          <w:szCs w:val="32"/>
          <w:lang w:val="en-US" w:eastAsia="zh-CN"/>
        </w:rPr>
        <w:t>信息</w:t>
      </w:r>
      <w:r>
        <w:rPr>
          <w:rFonts w:hint="eastAsia" w:ascii="仿宋_GB2312" w:hAnsi="仿宋_GB2312" w:eastAsia="仿宋_GB2312" w:cs="仿宋_GB2312"/>
          <w:b/>
          <w:bCs/>
          <w:i w:val="0"/>
          <w:iCs w:val="0"/>
          <w:sz w:val="32"/>
          <w:szCs w:val="32"/>
          <w:lang w:eastAsia="zh-CN"/>
        </w:rPr>
        <w:t>。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一般需要核实改正后才能进行上报成功。</w:t>
      </w:r>
    </w:p>
    <w:p>
      <w:pPr>
        <w:spacing w:beforeLines="0" w:afterLines="0" w:line="580" w:lineRule="exact"/>
        <w:ind w:firstLine="643" w:firstLineChars="200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i w:val="0"/>
          <w:iCs w:val="0"/>
          <w:sz w:val="32"/>
          <w:szCs w:val="32"/>
        </w:rPr>
        <w:t>若错</w:t>
      </w:r>
      <w:r>
        <w:rPr>
          <w:rFonts w:hint="eastAsia" w:ascii="仿宋_GB2312" w:hAnsi="仿宋_GB2312" w:eastAsia="仿宋_GB2312" w:cs="仿宋_GB2312"/>
          <w:b/>
          <w:bCs/>
          <w:i w:val="0"/>
          <w:iCs w:val="0"/>
          <w:sz w:val="32"/>
          <w:szCs w:val="32"/>
          <w:lang w:val="en-US" w:eastAsia="zh-CN"/>
        </w:rPr>
        <w:t>提示</w:t>
      </w:r>
      <w:r>
        <w:rPr>
          <w:rFonts w:hint="eastAsia" w:ascii="仿宋_GB2312" w:hAnsi="仿宋_GB2312" w:eastAsia="仿宋_GB2312" w:cs="仿宋_GB2312"/>
          <w:b/>
          <w:bCs/>
          <w:i w:val="0"/>
          <w:iCs w:val="0"/>
          <w:sz w:val="32"/>
          <w:szCs w:val="32"/>
        </w:rPr>
        <w:t>信息比较多，一般可以将错误信息优先过滤出来进行处理，可以在审核信息对话框内点击公式过滤图标</w:t>
      </w:r>
      <w:r>
        <w:rPr>
          <w:rFonts w:hint="eastAsia" w:ascii="仿宋_GB2312" w:hAnsi="仿宋_GB2312" w:eastAsia="仿宋_GB2312" w:cs="仿宋_GB2312"/>
          <w:b/>
          <w:bCs/>
          <w:i w:val="0"/>
          <w:iCs w:val="0"/>
          <w:sz w:val="32"/>
          <w:szCs w:val="32"/>
        </w:rPr>
        <w:drawing>
          <wp:inline distT="0" distB="0" distL="0" distR="0">
            <wp:extent cx="495300" cy="209550"/>
            <wp:effectExtent l="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然后选择错误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eastAsia="zh-CN"/>
        </w:rPr>
        <w:t>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640" w:leftChars="0" w:right="0" w:rightChars="0" w:hanging="640" w:hanging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drawing>
          <wp:inline distT="0" distB="0" distL="0" distR="0">
            <wp:extent cx="5274310" cy="892175"/>
            <wp:effectExtent l="0" t="0" r="2540" b="317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9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Lines="0" w:afterLines="0" w:line="580" w:lineRule="exact"/>
        <w:ind w:firstLine="640" w:firstLineChars="200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这样就会把错误公式过滤出来，可以优先处理。</w:t>
      </w:r>
    </w:p>
    <w:p>
      <w:pPr>
        <w:spacing w:beforeLines="0" w:afterLines="0" w:line="580" w:lineRule="exact"/>
        <w:ind w:firstLine="640" w:firstLineChars="200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在处理后再次点击审核，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如果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审核信息框没有及时更新审核信息，可以点击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清除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按钮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drawing>
          <wp:inline distT="0" distB="0" distL="0" distR="0">
            <wp:extent cx="419100" cy="285750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将审核信息全部清除，再次审核即可得到新的审核结果。</w:t>
      </w:r>
    </w:p>
    <w:p>
      <w:pPr>
        <w:spacing w:beforeLines="0" w:afterLines="0" w:line="580" w:lineRule="exact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</w:p>
    <w:p>
      <w:pPr>
        <w:pStyle w:val="5"/>
        <w:spacing w:before="0" w:beforeLines="0" w:after="0" w:afterLines="0" w:line="580" w:lineRule="exact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批注</w:t>
      </w:r>
    </w:p>
    <w:p>
      <w:pPr>
        <w:spacing w:beforeLines="0" w:afterLines="0" w:line="580" w:lineRule="exact"/>
        <w:ind w:firstLine="646" w:firstLineChars="202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对于被退回的报表，上级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审核单位可以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对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疑问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指标进行批注，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填报用户可以查看上级审核单位批注。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点击工具栏中的【批注】按钮，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drawing>
          <wp:inline distT="0" distB="0" distL="0" distR="0">
            <wp:extent cx="5274310" cy="2643505"/>
            <wp:effectExtent l="0" t="0" r="2540" b="444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4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Lines="0" w:afterLines="0" w:line="580" w:lineRule="exact"/>
        <w:ind w:firstLine="646" w:firstLineChars="202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显示所有批注，</w:t>
      </w:r>
      <w:r>
        <w:rPr>
          <w:rFonts w:hint="eastAsia" w:ascii="仿宋_GB2312" w:hAnsi="仿宋_GB2312" w:eastAsia="仿宋_GB2312" w:cs="仿宋_GB2312"/>
          <w:b/>
          <w:bCs/>
          <w:i w:val="0"/>
          <w:iCs w:val="0"/>
          <w:sz w:val="32"/>
          <w:szCs w:val="32"/>
        </w:rPr>
        <w:t>查看所有的批注。</w:t>
      </w:r>
    </w:p>
    <w:p>
      <w:pPr>
        <w:spacing w:beforeLines="0" w:afterLines="0" w:line="580" w:lineRule="exact"/>
        <w:ind w:firstLine="646" w:firstLineChars="202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同时用户可以对某些异常的指标</w:t>
      </w:r>
      <w:r>
        <w:rPr>
          <w:rFonts w:hint="eastAsia" w:ascii="仿宋_GB2312" w:hAnsi="仿宋_GB2312" w:eastAsia="仿宋_GB2312" w:cs="仿宋_GB2312"/>
          <w:b/>
          <w:bCs/>
          <w:i w:val="0"/>
          <w:iCs w:val="0"/>
          <w:sz w:val="32"/>
          <w:szCs w:val="32"/>
        </w:rPr>
        <w:t>新建批注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，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解释数据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异常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原因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eastAsia="zh-CN"/>
        </w:rPr>
        <w:t>，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点击【批注】里的【新建批注】：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drawing>
          <wp:inline distT="0" distB="0" distL="0" distR="0">
            <wp:extent cx="5274310" cy="2916555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16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Lines="0" w:afterLines="0" w:line="580" w:lineRule="exact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</w:p>
    <w:p>
      <w:pPr>
        <w:spacing w:beforeLines="0" w:afterLines="0" w:line="580" w:lineRule="exact"/>
        <w:ind w:firstLine="646" w:firstLineChars="202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填写批注后，确定，就会发现被批注的指标的右上角有个红色的三角角标：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drawing>
          <wp:inline distT="0" distB="0" distL="0" distR="0">
            <wp:extent cx="5274310" cy="1764030"/>
            <wp:effectExtent l="0" t="0" r="2540" b="762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64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Lines="0" w:afterLines="0" w:line="580" w:lineRule="exact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</w:p>
    <w:p>
      <w:pPr>
        <w:pStyle w:val="4"/>
        <w:spacing w:before="0" w:beforeLines="0" w:after="0" w:afterLines="0" w:line="580" w:lineRule="exact"/>
        <w:rPr>
          <w:rFonts w:hint="eastAsia" w:ascii="仿宋_GB2312" w:hAnsi="仿宋_GB2312" w:eastAsia="仿宋_GB2312" w:cs="仿宋_GB2312"/>
          <w:i w:val="0"/>
          <w:iCs w:val="0"/>
        </w:rPr>
      </w:pPr>
      <w:bookmarkStart w:id="13" w:name="_Toc502174977"/>
      <w:bookmarkStart w:id="14" w:name="_Toc17925"/>
      <w:r>
        <w:rPr>
          <w:rFonts w:hint="eastAsia" w:ascii="仿宋_GB2312" w:hAnsi="仿宋_GB2312" w:eastAsia="仿宋_GB2312" w:cs="仿宋_GB2312"/>
          <w:i w:val="0"/>
          <w:iCs w:val="0"/>
        </w:rPr>
        <w:t>数据录入</w:t>
      </w:r>
      <w:bookmarkEnd w:id="13"/>
      <w:bookmarkEnd w:id="14"/>
    </w:p>
    <w:p>
      <w:pPr>
        <w:spacing w:beforeLines="0" w:afterLines="0" w:line="580" w:lineRule="exact"/>
        <w:ind w:firstLine="646" w:firstLineChars="202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点击【数据录入】按钮：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drawing>
          <wp:inline distT="0" distB="0" distL="0" distR="0">
            <wp:extent cx="5274310" cy="2339340"/>
            <wp:effectExtent l="0" t="0" r="2540" b="381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39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Lines="0" w:afterLines="0" w:line="580" w:lineRule="exact"/>
        <w:ind w:firstLine="646" w:firstLineChars="202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首次进行填报的用户需要将报表栏目里的封面代码表完善。</w:t>
      </w:r>
    </w:p>
    <w:p>
      <w:pPr>
        <w:spacing w:beforeLines="0" w:afterLines="0" w:line="580" w:lineRule="exact"/>
        <w:ind w:firstLine="646" w:firstLineChars="202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</w:pPr>
      <w:r>
        <w:rPr>
          <w:rFonts w:hint="default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统一社会信用代码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是</w:t>
      </w:r>
      <w:r>
        <w:rPr>
          <w:rFonts w:hint="default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由国家标准委发布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的长度为18位的用于法人和其他组织</w:t>
      </w:r>
      <w:r>
        <w:rPr>
          <w:rFonts w:hint="default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fldChar w:fldCharType="begin"/>
      </w:r>
      <w:r>
        <w:rPr>
          <w:rFonts w:hint="default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instrText xml:space="preserve"> HYPERLINK "https://baike.baidu.com/item/%E8%BA%AB%E4%BB%BD%E8%AF%86%E5%88%AB" \t "https://baike.baidu.com/item/%E7%BB%9F%E4%B8%80%E7%A4%BE%E4%BC%9A%E4%BF%A1%E7%94%A8%E4%BB%A3%E7%A0%81/_blank" </w:instrText>
      </w:r>
      <w:r>
        <w:rPr>
          <w:rFonts w:hint="default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fldChar w:fldCharType="separate"/>
      </w:r>
      <w:r>
        <w:rPr>
          <w:rFonts w:hint="default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身份识别</w:t>
      </w:r>
      <w:r>
        <w:rPr>
          <w:rFonts w:hint="default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fldChar w:fldCharType="end"/>
      </w:r>
      <w:r>
        <w:rPr>
          <w:rFonts w:hint="default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的代码。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如果没有统一社会信用代码，有机构代码证，可以通过在机构代码证前补充0进行填写，例如：机构代码证为“123456789”，那么应填写“000000000123456789”。如果没有</w:t>
      </w:r>
      <w:r>
        <w:rPr>
          <w:rFonts w:hint="default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统一社会信用代码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和机构代码证的部门或单位等，可以填写18位“0”，即“000000000000000000”。</w:t>
      </w:r>
    </w:p>
    <w:p>
      <w:pPr>
        <w:spacing w:beforeLines="0" w:afterLines="0" w:line="580" w:lineRule="exact"/>
        <w:ind w:firstLine="646" w:firstLineChars="202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填报日期以单位负责人签发日期为准。</w:t>
      </w:r>
    </w:p>
    <w:p>
      <w:pPr>
        <w:pStyle w:val="5"/>
        <w:spacing w:before="0" w:beforeLines="0" w:after="0" w:afterLines="0" w:line="580" w:lineRule="exact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报表数据提取</w:t>
      </w:r>
    </w:p>
    <w:p>
      <w:pPr>
        <w:spacing w:beforeLines="0" w:afterLines="0" w:line="580" w:lineRule="exact"/>
        <w:ind w:firstLine="646" w:firstLineChars="202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切换到【数据录入】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中的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报表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eastAsia="zh-CN"/>
        </w:rPr>
        <w:t>。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点击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【数据录入】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中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工具栏里的【运算】按钮：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drawing>
          <wp:inline distT="0" distB="0" distL="0" distR="0">
            <wp:extent cx="5274310" cy="2821940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Lines="0" w:afterLines="0" w:line="580" w:lineRule="exact"/>
        <w:ind w:firstLine="646" w:firstLineChars="202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点击确定按钮，就将数据取过来了。</w:t>
      </w:r>
    </w:p>
    <w:p>
      <w:pPr>
        <w:pStyle w:val="5"/>
        <w:spacing w:before="0" w:beforeLines="0" w:after="0" w:afterLines="0" w:line="580" w:lineRule="exact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审核</w:t>
      </w:r>
    </w:p>
    <w:p>
      <w:pPr>
        <w:spacing w:beforeLines="0" w:afterLines="0" w:line="580" w:lineRule="exact"/>
        <w:ind w:firstLine="646" w:firstLineChars="202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对于取过来的数据，需要进一步进行审核。点击工具栏里的【审核】按钮：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both"/>
        <w:textAlignment w:val="auto"/>
        <w:outlineLvl w:val="9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drawing>
          <wp:inline distT="0" distB="0" distL="0" distR="0">
            <wp:extent cx="5274310" cy="2418715"/>
            <wp:effectExtent l="0" t="0" r="2540" b="635"/>
            <wp:docPr id="31" name="图片 31" descr="C:\Users\lina321\Documents\Tencent Files\334111044\Image\C2C\}~9[2UY_G{)VF3P`}X`)P0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C:\Users\lina321\Documents\Tencent Files\334111044\Image\C2C\}~9[2UY_G{)VF3P`}X`)P0C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8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Lines="0" w:afterLines="0" w:line="580" w:lineRule="exact"/>
        <w:ind w:firstLine="646" w:firstLineChars="202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若数据存在问题，会在报表下发的审核信息栏里会出现公式说明。系统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设置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本年实际的数据比上年对照的数据增减幅不超过50%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的临界提示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eastAsia="zh-CN"/>
        </w:rPr>
        <w:t>。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若发现这个提示，同时上年对照没有数据的话，就可以忽略这个提示，若上年对照有数据则需要核实，可以在错误说明中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补充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指标异常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原因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drawing>
          <wp:inline distT="0" distB="0" distL="0" distR="0">
            <wp:extent cx="5274310" cy="3185160"/>
            <wp:effectExtent l="0" t="0" r="254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8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Lines="0" w:afterLines="0" w:line="580" w:lineRule="exact"/>
        <w:ind w:firstLine="646" w:firstLineChars="202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若审核没有错误，则提示审核通过：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drawing>
          <wp:inline distT="0" distB="0" distL="0" distR="0">
            <wp:extent cx="5274310" cy="2434590"/>
            <wp:effectExtent l="0" t="0" r="2540" b="381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3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Lines="0" w:afterLines="0" w:line="580" w:lineRule="exact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</w:p>
    <w:p>
      <w:pPr>
        <w:spacing w:beforeLines="0" w:afterLines="0" w:line="580" w:lineRule="exact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</w:p>
    <w:p>
      <w:pPr>
        <w:pStyle w:val="4"/>
        <w:spacing w:before="0" w:beforeLines="0" w:after="0" w:afterLines="0" w:line="580" w:lineRule="exact"/>
        <w:rPr>
          <w:rFonts w:hint="eastAsia" w:ascii="仿宋_GB2312" w:hAnsi="仿宋_GB2312" w:eastAsia="仿宋_GB2312" w:cs="仿宋_GB2312"/>
          <w:i w:val="0"/>
          <w:iCs w:val="0"/>
        </w:rPr>
      </w:pPr>
      <w:bookmarkStart w:id="15" w:name="_Toc11485"/>
      <w:r>
        <w:rPr>
          <w:rFonts w:hint="eastAsia" w:ascii="仿宋_GB2312" w:hAnsi="仿宋_GB2312" w:eastAsia="仿宋_GB2312" w:cs="仿宋_GB2312"/>
          <w:i w:val="0"/>
          <w:iCs w:val="0"/>
          <w:lang w:val="en-US" w:eastAsia="zh-CN"/>
        </w:rPr>
        <w:t>统计报表填报注意事项</w:t>
      </w:r>
      <w:bookmarkEnd w:id="15"/>
    </w:p>
    <w:p>
      <w:pPr>
        <w:spacing w:beforeLines="0" w:afterLines="0" w:line="580" w:lineRule="exact"/>
        <w:ind w:firstLine="640" w:firstLineChars="200"/>
        <w:rPr>
          <w:rFonts w:hint="default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1.各填报单位</w:t>
      </w:r>
      <w:r>
        <w:rPr>
          <w:rFonts w:hint="default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必须按规定的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报表</w:t>
      </w:r>
      <w:r>
        <w:rPr>
          <w:rFonts w:hint="default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目录、代码顺序、计算单位及指标解释的要求填报。 </w:t>
      </w:r>
    </w:p>
    <w:p>
      <w:pPr>
        <w:spacing w:beforeLines="0" w:afterLines="0" w:line="580" w:lineRule="exact"/>
        <w:ind w:firstLine="646" w:firstLineChars="202"/>
        <w:rPr>
          <w:rFonts w:hint="default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2.各填报单位要</w:t>
      </w:r>
      <w:r>
        <w:rPr>
          <w:rFonts w:hint="default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严格按照每张表的逻辑关系审核，审核有数据逻辑关系不符的，一定要在上报时用文字说明。 </w:t>
      </w:r>
    </w:p>
    <w:p>
      <w:pPr>
        <w:spacing w:beforeLines="0" w:afterLines="0" w:line="580" w:lineRule="exact"/>
        <w:ind w:firstLine="646" w:firstLineChars="202"/>
        <w:rPr>
          <w:rFonts w:hint="default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3.各填报单位</w:t>
      </w:r>
      <w:r>
        <w:rPr>
          <w:rFonts w:hint="default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要严格认真审核，审核无误后加盖单位公章，经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单位</w:t>
      </w:r>
      <w:r>
        <w:rPr>
          <w:rFonts w:hint="default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负责人签字盖章后方可报出，不得虚报、瞒报。 </w:t>
      </w:r>
    </w:p>
    <w:p>
      <w:pPr>
        <w:pStyle w:val="5"/>
        <w:spacing w:before="0" w:beforeLines="0" w:after="0" w:afterLines="0" w:line="580" w:lineRule="exact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上报</w:t>
      </w:r>
    </w:p>
    <w:p>
      <w:pPr>
        <w:spacing w:beforeLines="0" w:afterLines="0" w:line="580" w:lineRule="exact"/>
        <w:ind w:firstLine="646" w:firstLineChars="202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对于审核无误的报表进行上报。点击工具栏中的【上报】按钮：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drawing>
          <wp:inline distT="0" distB="0" distL="0" distR="0">
            <wp:extent cx="5274310" cy="3338195"/>
            <wp:effectExtent l="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38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Lines="0" w:afterLines="0" w:line="580" w:lineRule="exact"/>
        <w:ind w:firstLine="646" w:firstLineChars="202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确定后弹出【上报说明】对话框，此时用户可以对上报进行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简要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说明，以便上级更好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地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了解上报情况。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drawing>
          <wp:inline distT="0" distB="0" distL="0" distR="0">
            <wp:extent cx="5274310" cy="3005455"/>
            <wp:effectExtent l="0" t="0" r="2540" b="444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05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Lines="0" w:afterLines="0" w:line="580" w:lineRule="exact"/>
        <w:ind w:firstLine="646" w:firstLineChars="202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如果没有默认为无，点击确定按钮即可。上报成功后弹出如下对话框：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drawing>
          <wp:inline distT="0" distB="0" distL="0" distR="0">
            <wp:extent cx="5274310" cy="3213100"/>
            <wp:effectExtent l="0" t="0" r="2540" b="635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1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Lines="0" w:afterLines="0" w:line="580" w:lineRule="exact"/>
        <w:ind w:firstLine="646" w:firstLineChars="202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就说明报表已经上报成功。</w:t>
      </w:r>
    </w:p>
    <w:p>
      <w:pPr>
        <w:pStyle w:val="5"/>
        <w:spacing w:before="0" w:beforeLines="0" w:after="0" w:afterLines="0" w:line="580" w:lineRule="exact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上报取回</w:t>
      </w:r>
    </w:p>
    <w:p>
      <w:pPr>
        <w:spacing w:beforeLines="0" w:afterLines="0" w:line="580" w:lineRule="exact"/>
        <w:ind w:firstLine="649" w:firstLineChars="202"/>
        <w:rPr>
          <w:rFonts w:hint="eastAsia" w:ascii="仿宋_GB2312" w:hAnsi="仿宋_GB2312" w:eastAsia="仿宋_GB2312" w:cs="仿宋_GB2312"/>
          <w:b/>
          <w:bCs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i w:val="0"/>
          <w:iCs w:val="0"/>
          <w:sz w:val="32"/>
          <w:szCs w:val="32"/>
        </w:rPr>
        <w:t>对于已经上报后的数据，如果需要修改，可以点击工具栏中的【上报取回】按钮，先将报表取回，修改后，再进行上报即可</w:t>
      </w:r>
      <w:r>
        <w:rPr>
          <w:rFonts w:hint="eastAsia" w:ascii="仿宋_GB2312" w:hAnsi="仿宋_GB2312" w:eastAsia="仿宋_GB2312" w:cs="仿宋_GB2312"/>
          <w:b/>
          <w:bCs/>
          <w:i w:val="0"/>
          <w:iCs w:val="0"/>
          <w:sz w:val="32"/>
          <w:szCs w:val="32"/>
          <w:lang w:eastAsia="zh-CN"/>
        </w:rPr>
        <w:t>。</w:t>
      </w:r>
      <w:r>
        <w:rPr>
          <w:rFonts w:hint="eastAsia" w:ascii="仿宋_GB2312" w:hAnsi="仿宋_GB2312" w:eastAsia="仿宋_GB2312" w:cs="仿宋_GB2312"/>
          <w:b/>
          <w:bCs/>
          <w:i w:val="0"/>
          <w:iCs w:val="0"/>
          <w:sz w:val="32"/>
          <w:szCs w:val="32"/>
          <w:lang w:val="en-US" w:eastAsia="zh-CN"/>
        </w:rPr>
        <w:t>注意：上级单位已审核通过的单位数据无法取回，需要联系上级审核单位退回。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drawing>
          <wp:inline distT="0" distB="0" distL="0" distR="0">
            <wp:extent cx="5274310" cy="3163570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63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drawing>
          <wp:inline distT="0" distB="0" distL="0" distR="0">
            <wp:extent cx="5274310" cy="3573780"/>
            <wp:effectExtent l="0" t="0" r="2540" b="762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73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drawing>
          <wp:inline distT="0" distB="0" distL="0" distR="0">
            <wp:extent cx="5274310" cy="2817495"/>
            <wp:effectExtent l="0" t="0" r="2540" b="190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17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beforeLines="0" w:afterLines="0" w:line="580" w:lineRule="exact"/>
        <w:ind w:firstLine="640" w:firstLineChars="200"/>
        <w:jc w:val="left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上报后，等待上级单位审核通过后，填报结束。</w:t>
      </w:r>
    </w:p>
    <w:p>
      <w:pPr>
        <w:spacing w:beforeLines="0" w:afterLines="0" w:line="580" w:lineRule="exact"/>
        <w:ind w:firstLine="640" w:firstLineChars="200"/>
        <w:jc w:val="left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</w:p>
    <w:p>
      <w:pPr>
        <w:pStyle w:val="4"/>
        <w:spacing w:before="0" w:beforeLines="0" w:after="0" w:afterLines="0" w:line="580" w:lineRule="exact"/>
        <w:rPr>
          <w:rFonts w:hint="eastAsia" w:ascii="楷体" w:hAnsi="楷体" w:eastAsia="楷体" w:cs="楷体"/>
          <w:i w:val="0"/>
          <w:iCs w:val="0"/>
        </w:rPr>
      </w:pPr>
      <w:bookmarkStart w:id="16" w:name="_Toc502174978"/>
      <w:bookmarkStart w:id="17" w:name="_Toc1859"/>
      <w:r>
        <w:rPr>
          <w:rFonts w:hint="eastAsia" w:ascii="楷体" w:hAnsi="楷体" w:eastAsia="楷体" w:cs="楷体"/>
          <w:i w:val="0"/>
          <w:iCs w:val="0"/>
        </w:rPr>
        <w:t>常见问题</w:t>
      </w:r>
      <w:bookmarkEnd w:id="16"/>
      <w:bookmarkEnd w:id="17"/>
    </w:p>
    <w:p>
      <w:pPr>
        <w:pStyle w:val="5"/>
        <w:spacing w:before="0" w:beforeLines="0" w:after="0" w:afterLines="0" w:line="580" w:lineRule="exact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客户端事件脚本执行异常处理方法</w:t>
      </w:r>
    </w:p>
    <w:p>
      <w:pPr>
        <w:spacing w:beforeLines="0" w:afterLines="0" w:line="580" w:lineRule="exact"/>
        <w:ind w:firstLine="646" w:firstLineChars="202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由于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网速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eastAsia="zh-CN"/>
        </w:rPr>
        <w:t>、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服务器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eastAsia="zh-CN"/>
        </w:rPr>
        <w:t>、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浏览器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运行异常，界面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可能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会出现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eastAsia="zh-CN"/>
        </w:rPr>
        <w:t>：“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客户端事件脚本执行异常，请联系系统管理员！”的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提示信息，这时候可以直接点击确定，或者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更换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浏览器再进入系统录入。</w:t>
      </w:r>
      <w:r>
        <w:rPr>
          <w:rFonts w:hint="eastAsia" w:ascii="仿宋_GB2312" w:hAnsi="仿宋_GB2312" w:eastAsia="仿宋_GB2312" w:cs="仿宋_GB2312"/>
          <w:b/>
          <w:bCs/>
          <w:i w:val="0"/>
          <w:iCs w:val="0"/>
          <w:sz w:val="32"/>
          <w:szCs w:val="32"/>
          <w:lang w:val="en-US" w:eastAsia="zh-CN"/>
        </w:rPr>
        <w:t>特别</w:t>
      </w:r>
      <w:r>
        <w:rPr>
          <w:rFonts w:hint="eastAsia" w:ascii="仿宋_GB2312" w:hAnsi="仿宋_GB2312" w:eastAsia="仿宋_GB2312" w:cs="仿宋_GB2312"/>
          <w:b/>
          <w:bCs/>
          <w:i w:val="0"/>
          <w:iCs w:val="0"/>
          <w:sz w:val="32"/>
          <w:szCs w:val="32"/>
        </w:rPr>
        <w:t>建议大家使用360浏览器</w:t>
      </w:r>
      <w:r>
        <w:rPr>
          <w:rFonts w:hint="eastAsia" w:ascii="仿宋_GB2312" w:hAnsi="仿宋_GB2312" w:eastAsia="仿宋_GB2312" w:cs="仿宋_GB2312"/>
          <w:b/>
          <w:bCs/>
          <w:i w:val="0"/>
          <w:iCs w:val="0"/>
          <w:sz w:val="32"/>
          <w:szCs w:val="32"/>
          <w:lang w:val="en-US" w:eastAsia="zh-CN"/>
        </w:rPr>
        <w:t>的</w:t>
      </w:r>
      <w:r>
        <w:rPr>
          <w:rFonts w:hint="eastAsia" w:ascii="仿宋_GB2312" w:hAnsi="仿宋_GB2312" w:eastAsia="仿宋_GB2312" w:cs="仿宋_GB2312"/>
          <w:b/>
          <w:bCs/>
          <w:i w:val="0"/>
          <w:iCs w:val="0"/>
          <w:sz w:val="32"/>
          <w:szCs w:val="32"/>
        </w:rPr>
        <w:t>极速模式。或者火狐浏览器。</w:t>
      </w:r>
    </w:p>
    <w:p>
      <w:pPr>
        <w:spacing w:beforeLines="0" w:afterLines="0" w:line="580" w:lineRule="exact"/>
        <w:ind w:firstLine="646" w:firstLineChars="202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643" w:firstLineChars="201"/>
        <w:jc w:val="both"/>
        <w:textAlignment w:val="auto"/>
        <w:outlineLvl w:val="9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drawing>
          <wp:inline distT="0" distB="0" distL="0" distR="0">
            <wp:extent cx="3819525" cy="1885950"/>
            <wp:effectExtent l="0" t="0" r="9525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81952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0" w:beforeLines="0" w:after="0" w:afterLines="0" w:line="580" w:lineRule="exact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用户名和密码管理</w:t>
      </w:r>
    </w:p>
    <w:p>
      <w:pPr>
        <w:numPr>
          <w:ilvl w:val="0"/>
          <w:numId w:val="0"/>
        </w:numPr>
        <w:spacing w:beforeLines="0" w:afterLines="0" w:line="580" w:lineRule="exact"/>
        <w:ind w:firstLine="640" w:firstLineChars="200"/>
        <w:jc w:val="left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按照统一部署、分级负责的原则，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各全国学会负责管理本学会及其分支机构的用户名和密码；各省级科协负责管理本级科协、地市级科协、县级科协和省级学会的用户名和密码；中国科协计划财务部负责管理中国科协机关各部门、各直属单位用户名和密码。</w:t>
      </w:r>
    </w:p>
    <w:p>
      <w:pPr>
        <w:numPr>
          <w:ilvl w:val="0"/>
          <w:numId w:val="0"/>
        </w:numPr>
        <w:spacing w:beforeLines="0" w:afterLines="0" w:line="580" w:lineRule="exact"/>
        <w:ind w:firstLine="640" w:firstLineChars="200"/>
        <w:jc w:val="left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各全国学会、各省级科协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如果需要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  <w:t>用户名和密码名录，请联系技术支持团队久其公司tanxuwen@jiuqi.com.cn。邮件内容备注：申请单位名称+申请人+接收邮箱+联系方式。</w:t>
      </w:r>
      <w:r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  <w:t>或者联系QQ群里面的工作人员。</w:t>
      </w:r>
    </w:p>
    <w:p>
      <w:pPr>
        <w:numPr>
          <w:ilvl w:val="0"/>
          <w:numId w:val="0"/>
        </w:numPr>
        <w:spacing w:beforeLines="0" w:afterLines="0" w:line="580" w:lineRule="exact"/>
        <w:ind w:firstLine="640" w:firstLineChars="200"/>
        <w:jc w:val="left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  <w:lang w:val="en-US" w:eastAsia="zh-CN"/>
        </w:rPr>
      </w:pPr>
    </w:p>
    <w:p>
      <w:pPr>
        <w:spacing w:beforeLines="0" w:afterLines="0" w:line="580" w:lineRule="exact"/>
        <w:ind w:firstLine="646" w:firstLineChars="202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</w:p>
    <w:p>
      <w:pPr>
        <w:spacing w:beforeLines="0" w:afterLines="0" w:line="580" w:lineRule="exact"/>
        <w:ind w:firstLine="646" w:firstLineChars="202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</w:p>
    <w:p>
      <w:pPr>
        <w:spacing w:beforeLines="0" w:afterLines="0" w:line="580" w:lineRule="exact"/>
        <w:ind w:firstLine="646" w:firstLineChars="202"/>
        <w:rPr>
          <w:rFonts w:hint="eastAsia" w:ascii="仿宋_GB2312" w:hAnsi="仿宋_GB2312" w:eastAsia="仿宋_GB2312" w:cs="仿宋_GB2312"/>
          <w:i w:val="0"/>
          <w:iCs w:val="0"/>
          <w:sz w:val="32"/>
          <w:szCs w:val="32"/>
        </w:rPr>
      </w:pPr>
    </w:p>
    <w:sectPr>
      <w:footerReference r:id="rId6" w:type="default"/>
      <w:pgSz w:w="11906" w:h="16838"/>
      <w:pgMar w:top="1440" w:right="1800" w:bottom="1440" w:left="1800" w:header="851" w:footer="992" w:gutter="0"/>
      <w:pgNumType w:fmt="numberInDash"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小标宋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等线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 Light">
    <w:altName w:val="宋体"/>
    <w:panose1 w:val="00000000000000000000"/>
    <w:charset w:val="86"/>
    <w:family w:val="auto"/>
    <w:pitch w:val="default"/>
    <w:sig w:usb0="00000000" w:usb1="00000000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Arial">
    <w:panose1 w:val="020B0604020202020204"/>
    <w:charset w:val="00"/>
    <w:family w:val="auto"/>
    <w:pitch w:val="default"/>
    <w:sig w:usb0="E0002AFF" w:usb1="C0007843" w:usb2="00000009" w:usb3="00000000" w:csb0="400001FF" w:csb1="FFFF0000"/>
  </w:font>
  <w:font w:name="等线 Light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等线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Garamond">
    <w:altName w:val="PMingLiU"/>
    <w:panose1 w:val="02020404030301010803"/>
    <w:charset w:val="00"/>
    <w:family w:val="roman"/>
    <w:pitch w:val="default"/>
    <w:sig w:usb0="00000000" w:usb1="00000000" w:usb2="00000000" w:usb3="00000000" w:csb0="0000009F" w:csb1="00000000"/>
  </w:font>
  <w:font w:name="PMingLiU">
    <w:panose1 w:val="02020500000000000000"/>
    <w:charset w:val="88"/>
    <w:family w:val="auto"/>
    <w:pitch w:val="default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8"/>
      <w:jc w:val="center"/>
    </w:pPr>
  </w:p>
  <w:p>
    <w:pPr>
      <w:pStyle w:val="1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8"/>
      <w:jc w:val="center"/>
    </w:pPr>
  </w:p>
  <w:p>
    <w:pPr>
      <w:pStyle w:val="18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8"/>
      <w:jc w:val="center"/>
    </w:pPr>
    <w: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3" name="文本框 4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sdt>
                          <w:sdtPr>
                            <w:id w:val="-1833523168"/>
                          </w:sdtPr>
                          <w:sdtContent>
                            <w:p>
                              <w:pPr>
                                <w:pStyle w:val="18"/>
                                <w:jc w:val="center"/>
                              </w:pPr>
                              <w:r>
                                <w:rPr>
                                  <w:rFonts w:hint="eastAsia" w:ascii="仿宋_GB2312" w:hAnsi="仿宋_GB2312" w:eastAsia="仿宋_GB2312" w:cs="仿宋_GB2312"/>
                                  <w:sz w:val="32"/>
                                  <w:szCs w:val="32"/>
                                </w:rPr>
                                <w:fldChar w:fldCharType="begin"/>
                              </w:r>
                              <w:r>
                                <w:rPr>
                                  <w:rFonts w:hint="eastAsia" w:ascii="仿宋_GB2312" w:hAnsi="仿宋_GB2312" w:eastAsia="仿宋_GB2312" w:cs="仿宋_GB2312"/>
                                  <w:sz w:val="32"/>
                                  <w:szCs w:val="32"/>
                                </w:rPr>
                                <w:instrText xml:space="preserve">PAGE   \* MERGEFORMAT</w:instrText>
                              </w:r>
                              <w:r>
                                <w:rPr>
                                  <w:rFonts w:hint="eastAsia" w:ascii="仿宋_GB2312" w:hAnsi="仿宋_GB2312" w:eastAsia="仿宋_GB2312" w:cs="仿宋_GB2312"/>
                                  <w:sz w:val="32"/>
                                  <w:szCs w:val="32"/>
                                </w:rPr>
                                <w:fldChar w:fldCharType="separate"/>
                              </w:r>
                              <w:r>
                                <w:rPr>
                                  <w:rFonts w:ascii="仿宋_GB2312" w:hAnsi="仿宋_GB2312" w:eastAsia="仿宋_GB2312" w:cs="仿宋_GB2312"/>
                                  <w:sz w:val="32"/>
                                  <w:szCs w:val="32"/>
                                  <w:lang w:val="zh-CN"/>
                                </w:rPr>
                                <w:t>-</w:t>
                              </w:r>
                              <w:r>
                                <w:rPr>
                                  <w:rFonts w:ascii="仿宋_GB2312" w:hAnsi="仿宋_GB2312" w:eastAsia="仿宋_GB2312" w:cs="仿宋_GB2312"/>
                                  <w:sz w:val="32"/>
                                  <w:szCs w:val="32"/>
                                </w:rPr>
                                <w:t xml:space="preserve"> 22 -</w:t>
                              </w:r>
                              <w:r>
                                <w:rPr>
                                  <w:rFonts w:hint="eastAsia" w:ascii="仿宋_GB2312" w:hAnsi="仿宋_GB2312" w:eastAsia="仿宋_GB2312" w:cs="仿宋_GB2312"/>
                                  <w:sz w:val="32"/>
                                  <w:szCs w:val="32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/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CzSVju0AAAAAUBAAAPAAAAAAAAAAEAIAAAACIA&#10;AABkcnMvZG93bnJldi54bWxQSwECFAAUAAAACACHTuJAA44OMxECAAAJBAAADgAAAAAAAAABACAA&#10;AAAfAQAAZHJzL2Uyb0RvYy54bWxQSwUGAAAAAAYABgBZAQAAog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sdt>
                    <w:sdtPr>
                      <w:id w:val="-1833523168"/>
                    </w:sdtPr>
                    <w:sdtContent>
                      <w:p>
                        <w:pPr>
                          <w:pStyle w:val="18"/>
                          <w:jc w:val="center"/>
                        </w:pPr>
                        <w:r>
                          <w:rPr>
                            <w:rFonts w:hint="eastAsia" w:ascii="仿宋_GB2312" w:hAnsi="仿宋_GB2312" w:eastAsia="仿宋_GB2312" w:cs="仿宋_GB2312"/>
                            <w:sz w:val="32"/>
                            <w:szCs w:val="32"/>
                          </w:rPr>
                          <w:fldChar w:fldCharType="begin"/>
                        </w:r>
                        <w:r>
                          <w:rPr>
                            <w:rFonts w:hint="eastAsia" w:ascii="仿宋_GB2312" w:hAnsi="仿宋_GB2312" w:eastAsia="仿宋_GB2312" w:cs="仿宋_GB2312"/>
                            <w:sz w:val="32"/>
                            <w:szCs w:val="32"/>
                          </w:rPr>
                          <w:instrText xml:space="preserve">PAGE   \* MERGEFORMAT</w:instrText>
                        </w:r>
                        <w:r>
                          <w:rPr>
                            <w:rFonts w:hint="eastAsia" w:ascii="仿宋_GB2312" w:hAnsi="仿宋_GB2312" w:eastAsia="仿宋_GB2312" w:cs="仿宋_GB2312"/>
                            <w:sz w:val="32"/>
                            <w:szCs w:val="32"/>
                          </w:rPr>
                          <w:fldChar w:fldCharType="separate"/>
                        </w:r>
                        <w:r>
                          <w:rPr>
                            <w:rFonts w:ascii="仿宋_GB2312" w:hAnsi="仿宋_GB2312" w:eastAsia="仿宋_GB2312" w:cs="仿宋_GB2312"/>
                            <w:sz w:val="32"/>
                            <w:szCs w:val="32"/>
                            <w:lang w:val="zh-CN"/>
                          </w:rPr>
                          <w:t>-</w:t>
                        </w:r>
                        <w:r>
                          <w:rPr>
                            <w:rFonts w:ascii="仿宋_GB2312" w:hAnsi="仿宋_GB2312" w:eastAsia="仿宋_GB2312" w:cs="仿宋_GB2312"/>
                            <w:sz w:val="32"/>
                            <w:szCs w:val="32"/>
                          </w:rPr>
                          <w:t xml:space="preserve"> 22 -</w:t>
                        </w:r>
                        <w:r>
                          <w:rPr>
                            <w:rFonts w:hint="eastAsia" w:ascii="仿宋_GB2312" w:hAnsi="仿宋_GB2312" w:eastAsia="仿宋_GB2312" w:cs="仿宋_GB2312"/>
                            <w:sz w:val="32"/>
                            <w:szCs w:val="32"/>
                          </w:rPr>
                          <w:fldChar w:fldCharType="end"/>
                        </w:r>
                      </w:p>
                    </w:sdtContent>
                  </w:sdt>
                  <w:p/>
                </w:txbxContent>
              </v:textbox>
            </v:shape>
          </w:pict>
        </mc:Fallback>
      </mc:AlternateContent>
    </w:r>
  </w:p>
  <w:p>
    <w:pPr>
      <w:pStyle w:val="18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9"/>
      <w:pBdr>
        <w:bottom w:val="none" w:color="auto" w:sz="0" w:space="1"/>
      </w:pBdr>
      <w:jc w:val="lef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B23730"/>
    <w:multiLevelType w:val="multilevel"/>
    <w:tmpl w:val="13B23730"/>
    <w:lvl w:ilvl="0" w:tentative="0">
      <w:start w:val="1"/>
      <w:numFmt w:val="decimal"/>
      <w:pStyle w:val="2"/>
      <w:lvlText w:val="%1"/>
      <w:lvlJc w:val="left"/>
      <w:pPr>
        <w:ind w:left="432" w:hanging="432"/>
      </w:pPr>
    </w:lvl>
    <w:lvl w:ilvl="1" w:tentative="0">
      <w:start w:val="1"/>
      <w:numFmt w:val="decimal"/>
      <w:pStyle w:val="3"/>
      <w:lvlText w:val="%1.%2"/>
      <w:lvlJc w:val="left"/>
      <w:pPr>
        <w:ind w:left="576" w:hanging="576"/>
      </w:pPr>
    </w:lvl>
    <w:lvl w:ilvl="2" w:tentative="0">
      <w:start w:val="1"/>
      <w:numFmt w:val="decimal"/>
      <w:pStyle w:val="4"/>
      <w:lvlText w:val="%1.%2.%3"/>
      <w:lvlJc w:val="left"/>
      <w:pPr>
        <w:ind w:left="720" w:hanging="720"/>
      </w:pPr>
    </w:lvl>
    <w:lvl w:ilvl="3" w:tentative="0">
      <w:start w:val="1"/>
      <w:numFmt w:val="decimal"/>
      <w:pStyle w:val="5"/>
      <w:lvlText w:val="%1.%2.%3.%4"/>
      <w:lvlJc w:val="left"/>
      <w:pPr>
        <w:ind w:left="864" w:hanging="864"/>
      </w:pPr>
    </w:lvl>
    <w:lvl w:ilvl="4" w:tentative="0">
      <w:start w:val="1"/>
      <w:numFmt w:val="decimal"/>
      <w:pStyle w:val="6"/>
      <w:lvlText w:val="%1.%2.%3.%4.%5"/>
      <w:lvlJc w:val="left"/>
      <w:pPr>
        <w:ind w:left="1008" w:hanging="1008"/>
      </w:pPr>
    </w:lvl>
    <w:lvl w:ilvl="5" w:tentative="0">
      <w:start w:val="1"/>
      <w:numFmt w:val="decimal"/>
      <w:pStyle w:val="7"/>
      <w:lvlText w:val="%1.%2.%3.%4.%5.%6"/>
      <w:lvlJc w:val="left"/>
      <w:pPr>
        <w:ind w:left="1152" w:hanging="1152"/>
      </w:pPr>
    </w:lvl>
    <w:lvl w:ilvl="6" w:tentative="0">
      <w:start w:val="1"/>
      <w:numFmt w:val="decimal"/>
      <w:pStyle w:val="8"/>
      <w:lvlText w:val="%1.%2.%3.%4.%5.%6.%7"/>
      <w:lvlJc w:val="left"/>
      <w:pPr>
        <w:ind w:left="1296" w:hanging="1296"/>
      </w:pPr>
    </w:lvl>
    <w:lvl w:ilvl="7" w:tentative="0">
      <w:start w:val="1"/>
      <w:numFmt w:val="decimal"/>
      <w:pStyle w:val="9"/>
      <w:lvlText w:val="%1.%2.%3.%4.%5.%6.%7.%8"/>
      <w:lvlJc w:val="left"/>
      <w:pPr>
        <w:ind w:left="1440" w:hanging="1440"/>
      </w:pPr>
    </w:lvl>
    <w:lvl w:ilvl="8" w:tentative="0">
      <w:start w:val="1"/>
      <w:numFmt w:val="decimal"/>
      <w:pStyle w:val="10"/>
      <w:lvlText w:val="%1.%2.%3.%4.%5.%6.%7.%8.%9"/>
      <w:lvlJc w:val="left"/>
      <w:pPr>
        <w:ind w:left="1584" w:hanging="1584"/>
      </w:pPr>
    </w:lvl>
  </w:abstractNum>
  <w:abstractNum w:abstractNumId="1">
    <w:nsid w:val="33783A0C"/>
    <w:multiLevelType w:val="multilevel"/>
    <w:tmpl w:val="33783A0C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D79C4"/>
    <w:rsid w:val="000617D0"/>
    <w:rsid w:val="00075E9C"/>
    <w:rsid w:val="000A1439"/>
    <w:rsid w:val="000E7EB3"/>
    <w:rsid w:val="00102026"/>
    <w:rsid w:val="0014172C"/>
    <w:rsid w:val="0014617A"/>
    <w:rsid w:val="001762CC"/>
    <w:rsid w:val="001E6A2A"/>
    <w:rsid w:val="00213A0E"/>
    <w:rsid w:val="00270459"/>
    <w:rsid w:val="00273A4B"/>
    <w:rsid w:val="002A0CA2"/>
    <w:rsid w:val="002A0EBF"/>
    <w:rsid w:val="003840FD"/>
    <w:rsid w:val="00384C61"/>
    <w:rsid w:val="003B6A20"/>
    <w:rsid w:val="005A2289"/>
    <w:rsid w:val="00611940"/>
    <w:rsid w:val="00712017"/>
    <w:rsid w:val="00764B36"/>
    <w:rsid w:val="00782388"/>
    <w:rsid w:val="00794A8F"/>
    <w:rsid w:val="007A7D97"/>
    <w:rsid w:val="007E70D2"/>
    <w:rsid w:val="00815CDD"/>
    <w:rsid w:val="00821C50"/>
    <w:rsid w:val="008971CC"/>
    <w:rsid w:val="00940414"/>
    <w:rsid w:val="009673B9"/>
    <w:rsid w:val="009C4EB6"/>
    <w:rsid w:val="009D79C4"/>
    <w:rsid w:val="00A11D07"/>
    <w:rsid w:val="00A1277D"/>
    <w:rsid w:val="00A65A35"/>
    <w:rsid w:val="00A95A7C"/>
    <w:rsid w:val="00AF423F"/>
    <w:rsid w:val="00B008B5"/>
    <w:rsid w:val="00BC2C5C"/>
    <w:rsid w:val="00C041C4"/>
    <w:rsid w:val="00C06146"/>
    <w:rsid w:val="00C10A9D"/>
    <w:rsid w:val="00C12993"/>
    <w:rsid w:val="00C13313"/>
    <w:rsid w:val="00C1359C"/>
    <w:rsid w:val="00C21233"/>
    <w:rsid w:val="00CC2583"/>
    <w:rsid w:val="00D068A5"/>
    <w:rsid w:val="00D31506"/>
    <w:rsid w:val="00D515FD"/>
    <w:rsid w:val="00DB530E"/>
    <w:rsid w:val="00DF5D7A"/>
    <w:rsid w:val="00E81934"/>
    <w:rsid w:val="00E8782F"/>
    <w:rsid w:val="00EC0A4F"/>
    <w:rsid w:val="00F00394"/>
    <w:rsid w:val="00F078A2"/>
    <w:rsid w:val="00F33776"/>
    <w:rsid w:val="00FF314A"/>
    <w:rsid w:val="02352B87"/>
    <w:rsid w:val="02A87F87"/>
    <w:rsid w:val="12991637"/>
    <w:rsid w:val="13BE5393"/>
    <w:rsid w:val="272126CA"/>
    <w:rsid w:val="5DC2179E"/>
    <w:rsid w:val="636F539D"/>
    <w:rsid w:val="642E43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9" w:semiHidden="0" w:name="heading 6"/>
    <w:lsdException w:qFormat="1" w:uiPriority="9" w:semiHidden="0" w:name="heading 7"/>
    <w:lsdException w:qFormat="1" w:uiPriority="9" w:semiHidden="0" w:name="heading 8"/>
    <w:lsdException w:qFormat="1" w:uiPriority="9" w:semiHidden="0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qFormat="1" w:uiPriority="39" w:semiHidden="0" w:name="toc 4"/>
    <w:lsdException w:qFormat="1" w:uiPriority="39" w:semiHidden="0" w:name="toc 5"/>
    <w:lsdException w:qFormat="1" w:uiPriority="39" w:semiHidden="0" w:name="toc 6"/>
    <w:lsdException w:qFormat="1" w:uiPriority="39" w:semiHidden="0" w:name="toc 7"/>
    <w:lsdException w:qFormat="1" w:uiPriority="39" w:semiHidden="0" w:name="toc 8"/>
    <w:lsdException w:qFormat="1" w:uiPriority="39" w:semiHidden="0" w:name="toc 9"/>
    <w:lsdException w:uiPriority="99" w:name="Normal Indent"/>
    <w:lsdException w:uiPriority="99" w:name="footnote text"/>
    <w:lsdException w:qFormat="1" w:uiPriority="99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qFormat="1" w:uiPriority="99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30"/>
    <w:qFormat/>
    <w:uiPriority w:val="9"/>
    <w:pPr>
      <w:keepNext/>
      <w:keepLines/>
      <w:numPr>
        <w:ilvl w:val="0"/>
        <w:numId w:val="1"/>
      </w:numPr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31"/>
    <w:unhideWhenUsed/>
    <w:qFormat/>
    <w:uiPriority w:val="9"/>
    <w:pPr>
      <w:keepNext/>
      <w:keepLines/>
      <w:numPr>
        <w:ilvl w:val="1"/>
        <w:numId w:val="1"/>
      </w:numPr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32"/>
    <w:unhideWhenUsed/>
    <w:qFormat/>
    <w:uiPriority w:val="9"/>
    <w:pPr>
      <w:keepNext/>
      <w:keepLines/>
      <w:numPr>
        <w:ilvl w:val="2"/>
        <w:numId w:val="1"/>
      </w:numPr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33"/>
    <w:unhideWhenUsed/>
    <w:qFormat/>
    <w:uiPriority w:val="9"/>
    <w:pPr>
      <w:keepNext/>
      <w:keepLines/>
      <w:numPr>
        <w:ilvl w:val="3"/>
        <w:numId w:val="1"/>
      </w:numPr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paragraph" w:styleId="6">
    <w:name w:val="heading 5"/>
    <w:basedOn w:val="1"/>
    <w:next w:val="1"/>
    <w:link w:val="34"/>
    <w:unhideWhenUsed/>
    <w:qFormat/>
    <w:uiPriority w:val="9"/>
    <w:pPr>
      <w:keepNext/>
      <w:keepLines/>
      <w:numPr>
        <w:ilvl w:val="4"/>
        <w:numId w:val="1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7">
    <w:name w:val="heading 6"/>
    <w:basedOn w:val="1"/>
    <w:next w:val="1"/>
    <w:link w:val="35"/>
    <w:unhideWhenUsed/>
    <w:qFormat/>
    <w:uiPriority w:val="9"/>
    <w:pPr>
      <w:keepNext/>
      <w:keepLines/>
      <w:numPr>
        <w:ilvl w:val="5"/>
        <w:numId w:val="1"/>
      </w:numPr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paragraph" w:styleId="8">
    <w:name w:val="heading 7"/>
    <w:basedOn w:val="1"/>
    <w:next w:val="1"/>
    <w:link w:val="36"/>
    <w:unhideWhenUsed/>
    <w:qFormat/>
    <w:uiPriority w:val="9"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9">
    <w:name w:val="heading 8"/>
    <w:basedOn w:val="1"/>
    <w:next w:val="1"/>
    <w:link w:val="37"/>
    <w:unhideWhenUsed/>
    <w:qFormat/>
    <w:uiPriority w:val="9"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Theme="majorHAnsi" w:hAnsiTheme="majorHAnsi" w:eastAsiaTheme="majorEastAsia" w:cstheme="majorBidi"/>
      <w:sz w:val="24"/>
      <w:szCs w:val="24"/>
    </w:rPr>
  </w:style>
  <w:style w:type="paragraph" w:styleId="10">
    <w:name w:val="heading 9"/>
    <w:basedOn w:val="1"/>
    <w:next w:val="1"/>
    <w:link w:val="38"/>
    <w:unhideWhenUsed/>
    <w:qFormat/>
    <w:uiPriority w:val="9"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Theme="majorHAnsi" w:hAnsiTheme="majorHAnsi" w:eastAsiaTheme="majorEastAsia" w:cstheme="majorBidi"/>
      <w:szCs w:val="21"/>
    </w:rPr>
  </w:style>
  <w:style w:type="character" w:default="1" w:styleId="25">
    <w:name w:val="Default Paragraph Font"/>
    <w:unhideWhenUsed/>
    <w:qFormat/>
    <w:uiPriority w:val="1"/>
  </w:style>
  <w:style w:type="table" w:default="1" w:styleId="29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annotation subject"/>
    <w:basedOn w:val="12"/>
    <w:next w:val="12"/>
    <w:link w:val="42"/>
    <w:unhideWhenUsed/>
    <w:qFormat/>
    <w:uiPriority w:val="99"/>
    <w:rPr>
      <w:b/>
      <w:bCs/>
    </w:rPr>
  </w:style>
  <w:style w:type="paragraph" w:styleId="12">
    <w:name w:val="annotation text"/>
    <w:basedOn w:val="1"/>
    <w:link w:val="41"/>
    <w:unhideWhenUsed/>
    <w:qFormat/>
    <w:uiPriority w:val="99"/>
    <w:pPr>
      <w:jc w:val="left"/>
    </w:pPr>
  </w:style>
  <w:style w:type="paragraph" w:styleId="13">
    <w:name w:val="toc 7"/>
    <w:basedOn w:val="1"/>
    <w:next w:val="1"/>
    <w:unhideWhenUsed/>
    <w:qFormat/>
    <w:uiPriority w:val="39"/>
    <w:pPr>
      <w:ind w:left="1260"/>
      <w:jc w:val="left"/>
    </w:pPr>
    <w:rPr>
      <w:rFonts w:eastAsiaTheme="minorHAnsi"/>
      <w:sz w:val="18"/>
      <w:szCs w:val="18"/>
    </w:rPr>
  </w:style>
  <w:style w:type="paragraph" w:styleId="14">
    <w:name w:val="toc 5"/>
    <w:basedOn w:val="1"/>
    <w:next w:val="1"/>
    <w:unhideWhenUsed/>
    <w:qFormat/>
    <w:uiPriority w:val="39"/>
    <w:pPr>
      <w:ind w:left="840"/>
      <w:jc w:val="left"/>
    </w:pPr>
    <w:rPr>
      <w:rFonts w:eastAsiaTheme="minorHAnsi"/>
      <w:sz w:val="18"/>
      <w:szCs w:val="18"/>
    </w:rPr>
  </w:style>
  <w:style w:type="paragraph" w:styleId="15">
    <w:name w:val="toc 3"/>
    <w:basedOn w:val="1"/>
    <w:next w:val="1"/>
    <w:unhideWhenUsed/>
    <w:qFormat/>
    <w:uiPriority w:val="39"/>
    <w:pPr>
      <w:ind w:left="420"/>
      <w:jc w:val="left"/>
    </w:pPr>
    <w:rPr>
      <w:rFonts w:eastAsiaTheme="minorHAnsi"/>
      <w:i/>
      <w:iCs/>
      <w:sz w:val="20"/>
      <w:szCs w:val="20"/>
    </w:rPr>
  </w:style>
  <w:style w:type="paragraph" w:styleId="16">
    <w:name w:val="toc 8"/>
    <w:basedOn w:val="1"/>
    <w:next w:val="1"/>
    <w:unhideWhenUsed/>
    <w:qFormat/>
    <w:uiPriority w:val="39"/>
    <w:pPr>
      <w:ind w:left="1470"/>
      <w:jc w:val="left"/>
    </w:pPr>
    <w:rPr>
      <w:rFonts w:eastAsiaTheme="minorHAnsi"/>
      <w:sz w:val="18"/>
      <w:szCs w:val="18"/>
    </w:rPr>
  </w:style>
  <w:style w:type="paragraph" w:styleId="17">
    <w:name w:val="Balloon Text"/>
    <w:basedOn w:val="1"/>
    <w:link w:val="43"/>
    <w:unhideWhenUsed/>
    <w:qFormat/>
    <w:uiPriority w:val="99"/>
    <w:rPr>
      <w:sz w:val="18"/>
      <w:szCs w:val="18"/>
    </w:rPr>
  </w:style>
  <w:style w:type="paragraph" w:styleId="18">
    <w:name w:val="footer"/>
    <w:basedOn w:val="1"/>
    <w:link w:val="40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9">
    <w:name w:val="header"/>
    <w:basedOn w:val="1"/>
    <w:link w:val="3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0">
    <w:name w:val="toc 1"/>
    <w:basedOn w:val="1"/>
    <w:next w:val="1"/>
    <w:unhideWhenUsed/>
    <w:qFormat/>
    <w:uiPriority w:val="39"/>
    <w:pPr>
      <w:spacing w:before="120" w:after="120"/>
      <w:jc w:val="left"/>
    </w:pPr>
    <w:rPr>
      <w:rFonts w:eastAsiaTheme="minorHAnsi"/>
      <w:b/>
      <w:bCs/>
      <w:caps/>
      <w:sz w:val="20"/>
      <w:szCs w:val="20"/>
    </w:rPr>
  </w:style>
  <w:style w:type="paragraph" w:styleId="21">
    <w:name w:val="toc 4"/>
    <w:basedOn w:val="1"/>
    <w:next w:val="1"/>
    <w:unhideWhenUsed/>
    <w:qFormat/>
    <w:uiPriority w:val="39"/>
    <w:pPr>
      <w:ind w:left="630"/>
      <w:jc w:val="left"/>
    </w:pPr>
    <w:rPr>
      <w:rFonts w:eastAsiaTheme="minorHAnsi"/>
      <w:sz w:val="18"/>
      <w:szCs w:val="18"/>
    </w:rPr>
  </w:style>
  <w:style w:type="paragraph" w:styleId="22">
    <w:name w:val="toc 6"/>
    <w:basedOn w:val="1"/>
    <w:next w:val="1"/>
    <w:unhideWhenUsed/>
    <w:qFormat/>
    <w:uiPriority w:val="39"/>
    <w:pPr>
      <w:ind w:left="1050"/>
      <w:jc w:val="left"/>
    </w:pPr>
    <w:rPr>
      <w:rFonts w:eastAsiaTheme="minorHAnsi"/>
      <w:sz w:val="18"/>
      <w:szCs w:val="18"/>
    </w:rPr>
  </w:style>
  <w:style w:type="paragraph" w:styleId="23">
    <w:name w:val="toc 2"/>
    <w:basedOn w:val="1"/>
    <w:next w:val="1"/>
    <w:unhideWhenUsed/>
    <w:qFormat/>
    <w:uiPriority w:val="39"/>
    <w:pPr>
      <w:ind w:left="210"/>
      <w:jc w:val="left"/>
    </w:pPr>
    <w:rPr>
      <w:rFonts w:eastAsiaTheme="minorHAnsi"/>
      <w:smallCaps/>
      <w:sz w:val="20"/>
      <w:szCs w:val="20"/>
    </w:rPr>
  </w:style>
  <w:style w:type="paragraph" w:styleId="24">
    <w:name w:val="toc 9"/>
    <w:basedOn w:val="1"/>
    <w:next w:val="1"/>
    <w:unhideWhenUsed/>
    <w:qFormat/>
    <w:uiPriority w:val="39"/>
    <w:pPr>
      <w:ind w:left="1680"/>
      <w:jc w:val="left"/>
    </w:pPr>
    <w:rPr>
      <w:rFonts w:eastAsiaTheme="minorHAnsi"/>
      <w:sz w:val="18"/>
      <w:szCs w:val="18"/>
    </w:rPr>
  </w:style>
  <w:style w:type="character" w:styleId="26">
    <w:name w:val="FollowedHyperlink"/>
    <w:basedOn w:val="25"/>
    <w:unhideWhenUsed/>
    <w:qFormat/>
    <w:uiPriority w:val="99"/>
    <w:rPr>
      <w:color w:val="333333"/>
      <w:u w:val="none"/>
    </w:rPr>
  </w:style>
  <w:style w:type="character" w:styleId="27">
    <w:name w:val="Hyperlink"/>
    <w:basedOn w:val="25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styleId="28">
    <w:name w:val="annotation reference"/>
    <w:basedOn w:val="25"/>
    <w:unhideWhenUsed/>
    <w:uiPriority w:val="99"/>
    <w:rPr>
      <w:sz w:val="21"/>
      <w:szCs w:val="21"/>
    </w:rPr>
  </w:style>
  <w:style w:type="character" w:customStyle="1" w:styleId="30">
    <w:name w:val="标题 1 字符"/>
    <w:basedOn w:val="25"/>
    <w:link w:val="2"/>
    <w:qFormat/>
    <w:uiPriority w:val="9"/>
    <w:rPr>
      <w:b/>
      <w:bCs/>
      <w:kern w:val="44"/>
      <w:sz w:val="44"/>
      <w:szCs w:val="44"/>
    </w:rPr>
  </w:style>
  <w:style w:type="character" w:customStyle="1" w:styleId="31">
    <w:name w:val="标题 2 字符"/>
    <w:basedOn w:val="25"/>
    <w:link w:val="3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32">
    <w:name w:val="标题 3 字符"/>
    <w:basedOn w:val="25"/>
    <w:link w:val="4"/>
    <w:qFormat/>
    <w:uiPriority w:val="9"/>
    <w:rPr>
      <w:b/>
      <w:bCs/>
      <w:sz w:val="32"/>
      <w:szCs w:val="32"/>
    </w:rPr>
  </w:style>
  <w:style w:type="character" w:customStyle="1" w:styleId="33">
    <w:name w:val="标题 4 字符"/>
    <w:basedOn w:val="25"/>
    <w:link w:val="5"/>
    <w:qFormat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character" w:customStyle="1" w:styleId="34">
    <w:name w:val="标题 5 字符"/>
    <w:basedOn w:val="25"/>
    <w:link w:val="6"/>
    <w:semiHidden/>
    <w:qFormat/>
    <w:uiPriority w:val="9"/>
    <w:rPr>
      <w:b/>
      <w:bCs/>
      <w:sz w:val="28"/>
      <w:szCs w:val="28"/>
    </w:rPr>
  </w:style>
  <w:style w:type="character" w:customStyle="1" w:styleId="35">
    <w:name w:val="标题 6 字符"/>
    <w:basedOn w:val="25"/>
    <w:link w:val="7"/>
    <w:semiHidden/>
    <w:qFormat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character" w:customStyle="1" w:styleId="36">
    <w:name w:val="标题 7 字符"/>
    <w:basedOn w:val="25"/>
    <w:link w:val="8"/>
    <w:semiHidden/>
    <w:qFormat/>
    <w:uiPriority w:val="9"/>
    <w:rPr>
      <w:b/>
      <w:bCs/>
      <w:sz w:val="24"/>
      <w:szCs w:val="24"/>
    </w:rPr>
  </w:style>
  <w:style w:type="character" w:customStyle="1" w:styleId="37">
    <w:name w:val="标题 8 字符"/>
    <w:basedOn w:val="25"/>
    <w:link w:val="9"/>
    <w:semiHidden/>
    <w:qFormat/>
    <w:uiPriority w:val="9"/>
    <w:rPr>
      <w:rFonts w:asciiTheme="majorHAnsi" w:hAnsiTheme="majorHAnsi" w:eastAsiaTheme="majorEastAsia" w:cstheme="majorBidi"/>
      <w:sz w:val="24"/>
      <w:szCs w:val="24"/>
    </w:rPr>
  </w:style>
  <w:style w:type="character" w:customStyle="1" w:styleId="38">
    <w:name w:val="标题 9 字符"/>
    <w:basedOn w:val="25"/>
    <w:link w:val="10"/>
    <w:semiHidden/>
    <w:qFormat/>
    <w:uiPriority w:val="9"/>
    <w:rPr>
      <w:rFonts w:asciiTheme="majorHAnsi" w:hAnsiTheme="majorHAnsi" w:eastAsiaTheme="majorEastAsia" w:cstheme="majorBidi"/>
      <w:szCs w:val="21"/>
    </w:rPr>
  </w:style>
  <w:style w:type="character" w:customStyle="1" w:styleId="39">
    <w:name w:val="页眉 字符"/>
    <w:basedOn w:val="25"/>
    <w:link w:val="19"/>
    <w:qFormat/>
    <w:uiPriority w:val="99"/>
    <w:rPr>
      <w:sz w:val="18"/>
      <w:szCs w:val="18"/>
    </w:rPr>
  </w:style>
  <w:style w:type="character" w:customStyle="1" w:styleId="40">
    <w:name w:val="页脚 字符"/>
    <w:basedOn w:val="25"/>
    <w:link w:val="18"/>
    <w:qFormat/>
    <w:uiPriority w:val="99"/>
    <w:rPr>
      <w:sz w:val="18"/>
      <w:szCs w:val="18"/>
    </w:rPr>
  </w:style>
  <w:style w:type="character" w:customStyle="1" w:styleId="41">
    <w:name w:val="批注文字 字符"/>
    <w:basedOn w:val="25"/>
    <w:link w:val="12"/>
    <w:semiHidden/>
    <w:qFormat/>
    <w:uiPriority w:val="99"/>
    <w:rPr>
      <w:kern w:val="2"/>
      <w:sz w:val="21"/>
      <w:szCs w:val="22"/>
    </w:rPr>
  </w:style>
  <w:style w:type="character" w:customStyle="1" w:styleId="42">
    <w:name w:val="批注主题 字符"/>
    <w:basedOn w:val="41"/>
    <w:link w:val="11"/>
    <w:semiHidden/>
    <w:qFormat/>
    <w:uiPriority w:val="99"/>
    <w:rPr>
      <w:b/>
      <w:bCs/>
      <w:kern w:val="2"/>
      <w:sz w:val="21"/>
      <w:szCs w:val="22"/>
    </w:rPr>
  </w:style>
  <w:style w:type="character" w:customStyle="1" w:styleId="43">
    <w:name w:val="批注框文本 字符"/>
    <w:basedOn w:val="25"/>
    <w:link w:val="17"/>
    <w:semiHidden/>
    <w:qFormat/>
    <w:uiPriority w:val="99"/>
    <w:rPr>
      <w:kern w:val="2"/>
      <w:sz w:val="18"/>
      <w:szCs w:val="18"/>
    </w:rPr>
  </w:style>
  <w:style w:type="paragraph" w:styleId="44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3.xml"/><Relationship Id="rId50" Type="http://schemas.openxmlformats.org/officeDocument/2006/relationships/fontTable" Target="fontTable.xml"/><Relationship Id="rId5" Type="http://schemas.openxmlformats.org/officeDocument/2006/relationships/footer" Target="footer2.xml"/><Relationship Id="rId49" Type="http://schemas.openxmlformats.org/officeDocument/2006/relationships/customXml" Target="../customXml/item2.xml"/><Relationship Id="rId48" Type="http://schemas.openxmlformats.org/officeDocument/2006/relationships/numbering" Target="numbering.xml"/><Relationship Id="rId47" Type="http://schemas.openxmlformats.org/officeDocument/2006/relationships/customXml" Target="../customXml/item1.xml"/><Relationship Id="rId46" Type="http://schemas.openxmlformats.org/officeDocument/2006/relationships/image" Target="media/image39.png"/><Relationship Id="rId45" Type="http://schemas.openxmlformats.org/officeDocument/2006/relationships/image" Target="media/image38.png"/><Relationship Id="rId44" Type="http://schemas.openxmlformats.org/officeDocument/2006/relationships/image" Target="media/image37.png"/><Relationship Id="rId43" Type="http://schemas.openxmlformats.org/officeDocument/2006/relationships/image" Target="media/image36.png"/><Relationship Id="rId42" Type="http://schemas.openxmlformats.org/officeDocument/2006/relationships/image" Target="media/image35.png"/><Relationship Id="rId41" Type="http://schemas.openxmlformats.org/officeDocument/2006/relationships/image" Target="media/image34.png"/><Relationship Id="rId40" Type="http://schemas.openxmlformats.org/officeDocument/2006/relationships/image" Target="media/image33.png"/><Relationship Id="rId4" Type="http://schemas.openxmlformats.org/officeDocument/2006/relationships/footer" Target="footer1.xml"/><Relationship Id="rId39" Type="http://schemas.openxmlformats.org/officeDocument/2006/relationships/image" Target="media/image32.png"/><Relationship Id="rId38" Type="http://schemas.openxmlformats.org/officeDocument/2006/relationships/image" Target="media/image31.png"/><Relationship Id="rId37" Type="http://schemas.openxmlformats.org/officeDocument/2006/relationships/image" Target="media/image30.png"/><Relationship Id="rId36" Type="http://schemas.openxmlformats.org/officeDocument/2006/relationships/image" Target="media/image29.png"/><Relationship Id="rId35" Type="http://schemas.openxmlformats.org/officeDocument/2006/relationships/image" Target="media/image28.png"/><Relationship Id="rId34" Type="http://schemas.openxmlformats.org/officeDocument/2006/relationships/image" Target="media/image27.png"/><Relationship Id="rId33" Type="http://schemas.openxmlformats.org/officeDocument/2006/relationships/image" Target="media/image26.png"/><Relationship Id="rId32" Type="http://schemas.openxmlformats.org/officeDocument/2006/relationships/image" Target="media/image25.png"/><Relationship Id="rId31" Type="http://schemas.openxmlformats.org/officeDocument/2006/relationships/image" Target="media/image24.png"/><Relationship Id="rId30" Type="http://schemas.openxmlformats.org/officeDocument/2006/relationships/image" Target="media/image23.png"/><Relationship Id="rId3" Type="http://schemas.openxmlformats.org/officeDocument/2006/relationships/header" Target="header1.xml"/><Relationship Id="rId29" Type="http://schemas.openxmlformats.org/officeDocument/2006/relationships/image" Target="media/image22.png"/><Relationship Id="rId28" Type="http://schemas.openxmlformats.org/officeDocument/2006/relationships/image" Target="media/image21.png"/><Relationship Id="rId27" Type="http://schemas.openxmlformats.org/officeDocument/2006/relationships/image" Target="media/image20.png"/><Relationship Id="rId26" Type="http://schemas.openxmlformats.org/officeDocument/2006/relationships/image" Target="media/image19.png"/><Relationship Id="rId25" Type="http://schemas.openxmlformats.org/officeDocument/2006/relationships/image" Target="media/image18.png"/><Relationship Id="rId24" Type="http://schemas.openxmlformats.org/officeDocument/2006/relationships/image" Target="media/image17.png"/><Relationship Id="rId23" Type="http://schemas.openxmlformats.org/officeDocument/2006/relationships/image" Target="media/image16.png"/><Relationship Id="rId22" Type="http://schemas.openxmlformats.org/officeDocument/2006/relationships/image" Target="media/image15.png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0D0B371C-FD57-4DFB-8CB3-46AD8BE90932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602</Words>
  <Characters>3435</Characters>
  <Lines>28</Lines>
  <Paragraphs>8</Paragraphs>
  <ScaleCrop>false</ScaleCrop>
  <LinksUpToDate>false</LinksUpToDate>
  <CharactersWithSpaces>4029</CharactersWithSpaces>
  <Application>WPS Office_10.1.0.7023_F1E327BC-269C-435d-A152-05C5408002CA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2017-12-05T09:01:00Z</dcterms:created>
  <dc:creator>lina321</dc:creator>
  <cp:lastModifiedBy>胡洪瑞</cp:lastModifiedBy>
  <dcterms:modified xsi:type="dcterms:W3CDTF">2017-12-29T07:07:13Z</dcterms:modified>
  <cp:revision>35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2052-10.1.0.7023</vt:lpwstr>
  </property>
</Properties>
</file>